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D5DA8D" w14:textId="77777777" w:rsidR="00365CFC" w:rsidRPr="00EA70C5" w:rsidRDefault="00365CFC" w:rsidP="00365CFC">
      <w:pPr>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39C81247" wp14:editId="5A11A5DD">
                <wp:simplePos x="0" y="0"/>
                <wp:positionH relativeFrom="margin">
                  <wp:align>left</wp:align>
                </wp:positionH>
                <wp:positionV relativeFrom="paragraph">
                  <wp:posOffset>4640580</wp:posOffset>
                </wp:positionV>
                <wp:extent cx="7315200" cy="10096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10096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09E5029" w14:textId="77777777" w:rsidR="00B4238C" w:rsidRPr="007F17B6" w:rsidRDefault="00B4238C" w:rsidP="00365CFC">
                            <w:pPr>
                              <w:spacing w:after="0" w:line="240" w:lineRule="auto"/>
                              <w:jc w:val="center"/>
                              <w:rPr>
                                <w:b/>
                                <w:color w:val="FFFFFF" w:themeColor="background1"/>
                                <w:sz w:val="40"/>
                                <w:szCs w:val="24"/>
                              </w:rPr>
                            </w:pPr>
                            <w:r w:rsidRPr="007F17B6">
                              <w:rPr>
                                <w:b/>
                                <w:color w:val="FFFFFF" w:themeColor="background1"/>
                                <w:sz w:val="40"/>
                                <w:szCs w:val="24"/>
                              </w:rPr>
                              <w:t>Strategic Prevention Framework-Partnerships for Success</w:t>
                            </w:r>
                          </w:p>
                          <w:p w14:paraId="647611A7" w14:textId="5D89E7C6" w:rsidR="00B4238C" w:rsidRDefault="00B4238C" w:rsidP="00365CFC">
                            <w:pPr>
                              <w:spacing w:after="0" w:line="240" w:lineRule="auto"/>
                              <w:jc w:val="center"/>
                              <w:rPr>
                                <w:b/>
                                <w:color w:val="FFFFFF" w:themeColor="background1"/>
                                <w:sz w:val="40"/>
                                <w:szCs w:val="24"/>
                              </w:rPr>
                            </w:pPr>
                            <w:r w:rsidRPr="007F17B6">
                              <w:rPr>
                                <w:b/>
                                <w:color w:val="FFFFFF" w:themeColor="background1"/>
                                <w:sz w:val="40"/>
                                <w:szCs w:val="24"/>
                              </w:rPr>
                              <w:t xml:space="preserve">State of Illinois </w:t>
                            </w:r>
                            <w:r>
                              <w:rPr>
                                <w:b/>
                                <w:color w:val="FFFFFF" w:themeColor="background1"/>
                                <w:sz w:val="40"/>
                                <w:szCs w:val="24"/>
                              </w:rPr>
                              <w:t xml:space="preserve">Evaluation </w:t>
                            </w:r>
                            <w:r w:rsidRPr="007F17B6">
                              <w:rPr>
                                <w:b/>
                                <w:color w:val="FFFFFF" w:themeColor="background1"/>
                                <w:sz w:val="40"/>
                                <w:szCs w:val="24"/>
                              </w:rPr>
                              <w:t>Report</w:t>
                            </w:r>
                          </w:p>
                          <w:p w14:paraId="0E8D6E00" w14:textId="5CF3D6CC" w:rsidR="00B4238C" w:rsidRPr="007F17B6" w:rsidRDefault="00B4238C" w:rsidP="00365CFC">
                            <w:pPr>
                              <w:spacing w:after="0" w:line="240" w:lineRule="auto"/>
                              <w:jc w:val="center"/>
                              <w:rPr>
                                <w:b/>
                                <w:color w:val="FFFFFF" w:themeColor="background1"/>
                                <w:sz w:val="40"/>
                                <w:szCs w:val="24"/>
                              </w:rPr>
                            </w:pPr>
                            <w:r>
                              <w:rPr>
                                <w:b/>
                                <w:color w:val="FFFFFF" w:themeColor="background1"/>
                                <w:sz w:val="40"/>
                                <w:szCs w:val="24"/>
                              </w:rPr>
                              <w:t>June 2020 Addendum</w:t>
                            </w:r>
                          </w:p>
                          <w:p w14:paraId="20902EED" w14:textId="77777777" w:rsidR="00B4238C" w:rsidRPr="00973FD7" w:rsidRDefault="00B4238C" w:rsidP="00365CFC">
                            <w:pPr>
                              <w:jc w:val="center"/>
                              <w:rPr>
                                <w:rFonts w:ascii="Times" w:hAnsi="Times"/>
                                <w:b/>
                                <w:bCs/>
                                <w:color w:val="FFFFFF" w:themeColor="background1"/>
                                <w:sz w:val="36"/>
                                <w:szCs w:val="40"/>
                              </w:rPr>
                            </w:pPr>
                            <w:r>
                              <w:rPr>
                                <w:rFonts w:ascii="Times" w:hAnsi="Times"/>
                                <w:b/>
                                <w:bCs/>
                                <w:color w:val="FFFFFF" w:themeColor="background1"/>
                                <w:sz w:val="36"/>
                                <w:szCs w:val="4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C81247" id="_x0000_t202" coordsize="21600,21600" o:spt="202" path="m,l,21600r21600,l21600,xe">
                <v:stroke joinstyle="miter"/>
                <v:path gradientshapeok="t" o:connecttype="rect"/>
              </v:shapetype>
              <v:shape id="Text Box 10" o:spid="_x0000_s1026" type="#_x0000_t202" style="position:absolute;margin-left:0;margin-top:365.4pt;width:8in;height:7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" filled="f" stroked="f">
                <v:textbox>
                  <w:txbxContent>
                    <w:p w14:paraId="509E5029" w14:textId="77777777" w:rsidR="00B4238C" w:rsidRPr="007F17B6" w:rsidRDefault="00B4238C" w:rsidP="00365CFC">
                      <w:pPr>
                        <w:spacing w:after="0" w:line="240" w:lineRule="auto"/>
                        <w:jc w:val="center"/>
                        <w:rPr>
                          <w:b/>
                          <w:color w:val="FFFFFF" w:themeColor="background1"/>
                          <w:sz w:val="40"/>
                          <w:szCs w:val="24"/>
                        </w:rPr>
                      </w:pPr>
                      <w:r w:rsidRPr="007F17B6">
                        <w:rPr>
                          <w:b/>
                          <w:color w:val="FFFFFF" w:themeColor="background1"/>
                          <w:sz w:val="40"/>
                          <w:szCs w:val="24"/>
                        </w:rPr>
                        <w:t>Strategic Prevention Framework-Partnerships for Success</w:t>
                      </w:r>
                    </w:p>
                    <w:p w14:paraId="647611A7" w14:textId="5D89E7C6" w:rsidR="00B4238C" w:rsidRDefault="00B4238C" w:rsidP="00365CFC">
                      <w:pPr>
                        <w:spacing w:after="0" w:line="240" w:lineRule="auto"/>
                        <w:jc w:val="center"/>
                        <w:rPr>
                          <w:b/>
                          <w:color w:val="FFFFFF" w:themeColor="background1"/>
                          <w:sz w:val="40"/>
                          <w:szCs w:val="24"/>
                        </w:rPr>
                      </w:pPr>
                      <w:r w:rsidRPr="007F17B6">
                        <w:rPr>
                          <w:b/>
                          <w:color w:val="FFFFFF" w:themeColor="background1"/>
                          <w:sz w:val="40"/>
                          <w:szCs w:val="24"/>
                        </w:rPr>
                        <w:t xml:space="preserve">State of Illinois </w:t>
                      </w:r>
                      <w:r>
                        <w:rPr>
                          <w:b/>
                          <w:color w:val="FFFFFF" w:themeColor="background1"/>
                          <w:sz w:val="40"/>
                          <w:szCs w:val="24"/>
                        </w:rPr>
                        <w:t xml:space="preserve">Evaluation </w:t>
                      </w:r>
                      <w:r w:rsidRPr="007F17B6">
                        <w:rPr>
                          <w:b/>
                          <w:color w:val="FFFFFF" w:themeColor="background1"/>
                          <w:sz w:val="40"/>
                          <w:szCs w:val="24"/>
                        </w:rPr>
                        <w:t>Report</w:t>
                      </w:r>
                    </w:p>
                    <w:p w14:paraId="0E8D6E00" w14:textId="5CF3D6CC" w:rsidR="00B4238C" w:rsidRPr="007F17B6" w:rsidRDefault="00B4238C" w:rsidP="00365CFC">
                      <w:pPr>
                        <w:spacing w:after="0" w:line="240" w:lineRule="auto"/>
                        <w:jc w:val="center"/>
                        <w:rPr>
                          <w:b/>
                          <w:color w:val="FFFFFF" w:themeColor="background1"/>
                          <w:sz w:val="40"/>
                          <w:szCs w:val="24"/>
                        </w:rPr>
                      </w:pPr>
                      <w:r>
                        <w:rPr>
                          <w:b/>
                          <w:color w:val="FFFFFF" w:themeColor="background1"/>
                          <w:sz w:val="40"/>
                          <w:szCs w:val="24"/>
                        </w:rPr>
                        <w:t>June 2020 Addendum</w:t>
                      </w:r>
                    </w:p>
                    <w:p w14:paraId="20902EED" w14:textId="77777777" w:rsidR="00B4238C" w:rsidRPr="00973FD7" w:rsidRDefault="00B4238C" w:rsidP="00365CFC">
                      <w:pPr>
                        <w:jc w:val="center"/>
                        <w:rPr>
                          <w:rFonts w:ascii="Times" w:hAnsi="Times"/>
                          <w:b/>
                          <w:bCs/>
                          <w:color w:val="FFFFFF" w:themeColor="background1"/>
                          <w:sz w:val="36"/>
                          <w:szCs w:val="40"/>
                        </w:rPr>
                      </w:pPr>
                      <w:r>
                        <w:rPr>
                          <w:rFonts w:ascii="Times" w:hAnsi="Times"/>
                          <w:b/>
                          <w:bCs/>
                          <w:color w:val="FFFFFF" w:themeColor="background1"/>
                          <w:sz w:val="36"/>
                          <w:szCs w:val="40"/>
                        </w:rPr>
                        <w:br/>
                      </w:r>
                    </w:p>
                  </w:txbxContent>
                </v:textbox>
                <w10:wrap anchorx="margin"/>
              </v:shape>
            </w:pict>
          </mc:Fallback>
        </mc:AlternateContent>
      </w:r>
      <w:r w:rsidRPr="00AC73CE">
        <w:rPr>
          <w:noProof/>
        </w:rPr>
        <w:drawing>
          <wp:inline distT="0" distB="0" distL="0" distR="0" wp14:anchorId="71D2158E" wp14:editId="2391D143">
            <wp:extent cx="7308850" cy="945515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8850" cy="9455150"/>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1" locked="0" layoutInCell="1" allowOverlap="1" wp14:anchorId="2C15C7BD" wp14:editId="5A9C73AD">
                <wp:simplePos x="0" y="0"/>
                <wp:positionH relativeFrom="column">
                  <wp:posOffset>5032375</wp:posOffset>
                </wp:positionH>
                <wp:positionV relativeFrom="paragraph">
                  <wp:posOffset>572770</wp:posOffset>
                </wp:positionV>
                <wp:extent cx="2514600" cy="914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929D2D" w14:textId="77777777" w:rsidR="00B4238C" w:rsidRDefault="00B4238C" w:rsidP="00365C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15C7BD" id="Text Box 6" o:spid="_x0000_s1027" type="#_x0000_t202" style="position:absolute;margin-left:396.25pt;margin-top:45.1pt;width:198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" filled="f" stroked="f">
                <v:textbox>
                  <w:txbxContent>
                    <w:p w14:paraId="7D929D2D" w14:textId="77777777" w:rsidR="00B4238C" w:rsidRDefault="00B4238C" w:rsidP="00365CFC"/>
                  </w:txbxContent>
                </v:textbox>
              </v:shape>
            </w:pict>
          </mc:Fallback>
        </mc:AlternateContent>
      </w:r>
    </w:p>
    <w:p w14:paraId="1F2E3E73" w14:textId="77777777" w:rsidR="00365CFC" w:rsidRDefault="00365CFC" w:rsidP="00365CFC">
      <w:pPr>
        <w:rPr>
          <w:sz w:val="40"/>
          <w:szCs w:val="40"/>
        </w:rPr>
        <w:sectPr w:rsidR="00365CFC" w:rsidSect="004F7213">
          <w:footerReference w:type="default" r:id="rId9"/>
          <w:footerReference w:type="first" r:id="rId10"/>
          <w:pgSz w:w="12240" w:h="15840"/>
          <w:pgMar w:top="432" w:right="432" w:bottom="432" w:left="432" w:header="720" w:footer="720" w:gutter="0"/>
          <w:cols w:space="720"/>
          <w:docGrid w:linePitch="360"/>
        </w:sectPr>
      </w:pPr>
    </w:p>
    <w:p w14:paraId="4C1E727B" w14:textId="77777777" w:rsidR="00365CFC" w:rsidRDefault="00365CFC" w:rsidP="00365CFC">
      <w:pPr>
        <w:jc w:val="center"/>
        <w:rPr>
          <w:rFonts w:cstheme="minorHAnsi"/>
          <w:bCs/>
          <w:i/>
        </w:rPr>
      </w:pPr>
    </w:p>
    <w:p w14:paraId="471AB512" w14:textId="77777777" w:rsidR="00365CFC" w:rsidRDefault="00365CFC" w:rsidP="00365CFC">
      <w:pPr>
        <w:jc w:val="center"/>
        <w:rPr>
          <w:rFonts w:cstheme="minorHAnsi"/>
          <w:bCs/>
          <w:i/>
        </w:rPr>
      </w:pPr>
    </w:p>
    <w:p w14:paraId="66A14BF4" w14:textId="77777777" w:rsidR="00365CFC" w:rsidRDefault="00365CFC" w:rsidP="00365CFC">
      <w:pPr>
        <w:jc w:val="center"/>
        <w:rPr>
          <w:rFonts w:cstheme="minorHAnsi"/>
          <w:bCs/>
          <w:i/>
        </w:rPr>
      </w:pPr>
    </w:p>
    <w:p w14:paraId="0B966D8C" w14:textId="77777777" w:rsidR="00365CFC" w:rsidRDefault="00365CFC" w:rsidP="00365CFC">
      <w:pPr>
        <w:jc w:val="center"/>
        <w:rPr>
          <w:rFonts w:cstheme="minorHAnsi"/>
          <w:bCs/>
          <w:i/>
        </w:rPr>
      </w:pPr>
    </w:p>
    <w:p w14:paraId="24F559EB" w14:textId="77777777" w:rsidR="00365CFC" w:rsidRPr="00B65BEA" w:rsidRDefault="00365CFC" w:rsidP="00365CFC">
      <w:pPr>
        <w:jc w:val="center"/>
        <w:rPr>
          <w:rFonts w:cstheme="minorHAnsi"/>
          <w:bCs/>
          <w:i/>
        </w:rPr>
      </w:pPr>
      <w:r w:rsidRPr="00B65BEA">
        <w:rPr>
          <w:rFonts w:cstheme="minorHAnsi"/>
          <w:bCs/>
          <w:i/>
        </w:rPr>
        <w:t>T</w:t>
      </w:r>
      <w:r>
        <w:rPr>
          <w:rFonts w:cstheme="minorHAnsi"/>
          <w:bCs/>
          <w:i/>
        </w:rPr>
        <w:t>h</w:t>
      </w:r>
      <w:r w:rsidRPr="00B65BEA">
        <w:rPr>
          <w:rFonts w:cstheme="minorHAnsi"/>
          <w:bCs/>
          <w:i/>
        </w:rPr>
        <w:t>e Strategic Prevention Framework-Partnerships for Success</w:t>
      </w:r>
      <w:r>
        <w:rPr>
          <w:rFonts w:cstheme="minorHAnsi"/>
          <w:bCs/>
          <w:i/>
        </w:rPr>
        <w:t xml:space="preserve"> (SPF-PFS) </w:t>
      </w:r>
      <w:r w:rsidRPr="00B65BEA">
        <w:rPr>
          <w:rFonts w:cstheme="minorHAnsi"/>
          <w:bCs/>
          <w:i/>
        </w:rPr>
        <w:t>grant was funded by the Substance Abuse and Mental Health Services Administration (SAMHSA)</w:t>
      </w:r>
      <w:r>
        <w:rPr>
          <w:rFonts w:cstheme="minorHAnsi"/>
          <w:bCs/>
          <w:i/>
        </w:rPr>
        <w:t>, Center for Substance Abuse Prevention (CSAP)</w:t>
      </w:r>
      <w:r w:rsidRPr="00B65BEA">
        <w:rPr>
          <w:rFonts w:cstheme="minorHAnsi"/>
          <w:bCs/>
          <w:i/>
        </w:rPr>
        <w:t>.</w:t>
      </w:r>
    </w:p>
    <w:p w14:paraId="73875FD7" w14:textId="77777777" w:rsidR="00365CFC" w:rsidRPr="00B65BEA" w:rsidRDefault="00365CFC" w:rsidP="00365CFC">
      <w:pPr>
        <w:jc w:val="center"/>
        <w:rPr>
          <w:rFonts w:cstheme="minorHAnsi"/>
          <w:bCs/>
          <w:i/>
        </w:rPr>
      </w:pPr>
      <w:r w:rsidRPr="00B65BEA">
        <w:rPr>
          <w:rFonts w:cstheme="minorHAnsi"/>
          <w:bCs/>
          <w:i/>
        </w:rPr>
        <w:t>The Illinois Department of Human Services, Division of Substance Use Prevention and Recovery (IDHS-SUPR) was the state administrator of the project.</w:t>
      </w:r>
    </w:p>
    <w:p w14:paraId="2B74A249" w14:textId="77777777" w:rsidR="00365CFC" w:rsidRPr="00B65BEA" w:rsidRDefault="00365CFC" w:rsidP="00365CFC">
      <w:pPr>
        <w:jc w:val="center"/>
        <w:rPr>
          <w:rFonts w:cstheme="minorHAnsi"/>
          <w:bCs/>
          <w:i/>
        </w:rPr>
      </w:pPr>
      <w:r w:rsidRPr="00B65BEA">
        <w:rPr>
          <w:rFonts w:cstheme="minorHAnsi"/>
          <w:bCs/>
          <w:i/>
        </w:rPr>
        <w:t>This evaluation report is presented to IDHS-SUPR by the Center for Prevention Research and Development (CPRD) at the University of Illinois at Urbana Champaign, the evaluation contractor.</w:t>
      </w:r>
    </w:p>
    <w:p w14:paraId="348282A4" w14:textId="77777777" w:rsidR="00365CFC" w:rsidRDefault="00365CFC" w:rsidP="00365CFC">
      <w:pPr>
        <w:rPr>
          <w:rFonts w:cstheme="minorHAnsi"/>
          <w:bCs/>
        </w:rPr>
      </w:pPr>
    </w:p>
    <w:p w14:paraId="0DDAA94B" w14:textId="77777777" w:rsidR="00365CFC" w:rsidRPr="00256AFB" w:rsidRDefault="00365CFC" w:rsidP="00365CFC">
      <w:pPr>
        <w:rPr>
          <w:rFonts w:cstheme="minorHAnsi"/>
          <w:bCs/>
        </w:rPr>
      </w:pPr>
    </w:p>
    <w:p w14:paraId="189D6250" w14:textId="77777777" w:rsidR="00365CFC" w:rsidRDefault="00365CFC" w:rsidP="00365CFC">
      <w:pPr>
        <w:jc w:val="center"/>
        <w:rPr>
          <w:rFonts w:cstheme="minorHAnsi"/>
        </w:rPr>
      </w:pPr>
      <w:r w:rsidRPr="00256AFB">
        <w:rPr>
          <w:rFonts w:cstheme="minorHAnsi"/>
        </w:rPr>
        <w:t>CPRD, th</w:t>
      </w:r>
      <w:r>
        <w:rPr>
          <w:rFonts w:cstheme="minorHAnsi"/>
        </w:rPr>
        <w:t xml:space="preserve">e state’s evaluation contractor </w:t>
      </w:r>
      <w:r w:rsidRPr="00256AFB">
        <w:rPr>
          <w:rFonts w:cstheme="minorHAnsi"/>
        </w:rPr>
        <w:t xml:space="preserve">for many grant-funded Illinois prevention systems for over 25 years and lead contractor for </w:t>
      </w:r>
      <w:r>
        <w:rPr>
          <w:rFonts w:cstheme="minorHAnsi"/>
        </w:rPr>
        <w:t>the Illinois Youth Survey</w:t>
      </w:r>
      <w:r w:rsidRPr="00256AFB">
        <w:rPr>
          <w:rFonts w:cstheme="minorHAnsi"/>
        </w:rPr>
        <w:t xml:space="preserve"> administration, </w:t>
      </w:r>
      <w:r>
        <w:rPr>
          <w:rFonts w:cstheme="minorHAnsi"/>
        </w:rPr>
        <w:t>was</w:t>
      </w:r>
      <w:r w:rsidRPr="00256AFB">
        <w:rPr>
          <w:rFonts w:cstheme="minorHAnsi"/>
        </w:rPr>
        <w:t xml:space="preserve"> responsible for all aspects of </w:t>
      </w:r>
      <w:r>
        <w:rPr>
          <w:rFonts w:cstheme="minorHAnsi"/>
        </w:rPr>
        <w:t xml:space="preserve">the SPF-PFS </w:t>
      </w:r>
      <w:r w:rsidRPr="00256AFB">
        <w:rPr>
          <w:rFonts w:cstheme="minorHAnsi"/>
        </w:rPr>
        <w:t>evaluation –</w:t>
      </w:r>
      <w:r>
        <w:rPr>
          <w:rFonts w:cstheme="minorHAnsi"/>
        </w:rPr>
        <w:t xml:space="preserve"> </w:t>
      </w:r>
      <w:r w:rsidRPr="00256AFB">
        <w:rPr>
          <w:rFonts w:cstheme="minorHAnsi"/>
        </w:rPr>
        <w:t>data collection, analysis, and progress and outcome measure reporting.</w:t>
      </w:r>
    </w:p>
    <w:p w14:paraId="41E2EDC2" w14:textId="270891E0" w:rsidR="00365CFC" w:rsidRDefault="00365CFC" w:rsidP="00365CFC">
      <w:pPr>
        <w:jc w:val="center"/>
        <w:rPr>
          <w:rFonts w:cstheme="minorHAnsi"/>
        </w:rPr>
      </w:pPr>
      <w:r w:rsidRPr="00256AFB">
        <w:rPr>
          <w:rFonts w:cstheme="minorHAnsi"/>
        </w:rPr>
        <w:t>CPRD share</w:t>
      </w:r>
      <w:r w:rsidR="00AE5EAA">
        <w:rPr>
          <w:rFonts w:cstheme="minorHAnsi"/>
        </w:rPr>
        <w:t>d</w:t>
      </w:r>
      <w:r>
        <w:rPr>
          <w:rFonts w:cstheme="minorHAnsi"/>
        </w:rPr>
        <w:t xml:space="preserve"> information gathered from </w:t>
      </w:r>
      <w:r w:rsidR="00C7610E">
        <w:rPr>
          <w:rFonts w:cstheme="minorHAnsi"/>
        </w:rPr>
        <w:t xml:space="preserve">community </w:t>
      </w:r>
      <w:r>
        <w:rPr>
          <w:rFonts w:cstheme="minorHAnsi"/>
        </w:rPr>
        <w:t>grant</w:t>
      </w:r>
      <w:r w:rsidRPr="00256AFB">
        <w:rPr>
          <w:rFonts w:cstheme="minorHAnsi"/>
        </w:rPr>
        <w:t xml:space="preserve"> sub-recipie</w:t>
      </w:r>
      <w:r>
        <w:rPr>
          <w:rFonts w:cstheme="minorHAnsi"/>
        </w:rPr>
        <w:t>nts and state project staff throughout the 5</w:t>
      </w:r>
      <w:r w:rsidR="00C90FD0">
        <w:rPr>
          <w:rFonts w:cstheme="minorHAnsi"/>
        </w:rPr>
        <w:t>-</w:t>
      </w:r>
      <w:r>
        <w:rPr>
          <w:rFonts w:cstheme="minorHAnsi"/>
        </w:rPr>
        <w:t>year grant administration period</w:t>
      </w:r>
      <w:r w:rsidR="00AE5EAA">
        <w:rPr>
          <w:rFonts w:cstheme="minorHAnsi"/>
        </w:rPr>
        <w:t xml:space="preserve"> in an evaluation report completed on September 30, 2019</w:t>
      </w:r>
      <w:r>
        <w:rPr>
          <w:rFonts w:cstheme="minorHAnsi"/>
        </w:rPr>
        <w:t xml:space="preserve">. Illinois was first funded on September 30, 2014 and funding for </w:t>
      </w:r>
      <w:r w:rsidR="00C7610E">
        <w:rPr>
          <w:rFonts w:cstheme="minorHAnsi"/>
        </w:rPr>
        <w:t xml:space="preserve">community </w:t>
      </w:r>
      <w:r>
        <w:rPr>
          <w:rFonts w:cstheme="minorHAnsi"/>
        </w:rPr>
        <w:t xml:space="preserve">sub-recipients was initially intended to end on September 29, 2019. However, Illinois was granted a 9 month No Cost Extension for September 30, 2019 through June 30, 2020. </w:t>
      </w:r>
      <w:r w:rsidR="00AE5EAA">
        <w:rPr>
          <w:rFonts w:cstheme="minorHAnsi"/>
        </w:rPr>
        <w:t xml:space="preserve">This addendum </w:t>
      </w:r>
      <w:r>
        <w:rPr>
          <w:rFonts w:cstheme="minorHAnsi"/>
        </w:rPr>
        <w:t>report further addresses and completes program-related information for the SPF-PFS grant, including the extended grant period.</w:t>
      </w:r>
    </w:p>
    <w:p w14:paraId="79FBE3D1" w14:textId="2D3D1456" w:rsidR="007071A6" w:rsidRDefault="007071A6" w:rsidP="00365CFC"/>
    <w:p w14:paraId="1B41F82B" w14:textId="4CDA43B1" w:rsidR="00AE5EAA" w:rsidRDefault="00AE5EAA">
      <w:pPr>
        <w:spacing w:line="259" w:lineRule="auto"/>
      </w:pPr>
      <w:r>
        <w:br w:type="page"/>
      </w:r>
    </w:p>
    <w:sdt>
      <w:sdtPr>
        <w:rPr>
          <w:rFonts w:asciiTheme="minorHAnsi" w:eastAsia="Times New Roman" w:hAnsiTheme="minorHAnsi" w:cs="Times New Roman"/>
          <w:b w:val="0"/>
          <w:sz w:val="22"/>
          <w:szCs w:val="22"/>
        </w:rPr>
        <w:id w:val="795408041"/>
        <w:docPartObj>
          <w:docPartGallery w:val="Table of Contents"/>
          <w:docPartUnique/>
        </w:docPartObj>
      </w:sdtPr>
      <w:sdtEndPr>
        <w:rPr>
          <w:bCs/>
          <w:noProof/>
        </w:rPr>
      </w:sdtEndPr>
      <w:sdtContent>
        <w:p w14:paraId="0B514484" w14:textId="32343361" w:rsidR="00AE5EAA" w:rsidRDefault="00AE5EAA">
          <w:pPr>
            <w:pStyle w:val="TOCHeading"/>
          </w:pPr>
          <w:r>
            <w:t>Table of Contents</w:t>
          </w:r>
        </w:p>
        <w:p w14:paraId="7DCE917A" w14:textId="77C5BFC6" w:rsidR="00B50C79" w:rsidRDefault="00C6328F">
          <w:pPr>
            <w:pStyle w:val="TOC1"/>
            <w:tabs>
              <w:tab w:val="right" w:leader="dot" w:pos="9350"/>
            </w:tabs>
            <w:rPr>
              <w:rFonts w:eastAsiaTheme="minorEastAsia" w:cstheme="minorBidi"/>
              <w:noProof/>
            </w:rPr>
          </w:pPr>
          <w:r>
            <w:fldChar w:fldCharType="begin"/>
          </w:r>
          <w:r>
            <w:instrText xml:space="preserve"> TOC \o "1-3" \h \z \u </w:instrText>
          </w:r>
          <w:r>
            <w:fldChar w:fldCharType="separate"/>
          </w:r>
          <w:hyperlink w:anchor="_Toc45026639" w:history="1">
            <w:r w:rsidR="00B50C79" w:rsidRPr="00F23453">
              <w:rPr>
                <w:rStyle w:val="Hyperlink"/>
                <w:noProof/>
              </w:rPr>
              <w:t>Continuation of SPF-PFS Funding</w:t>
            </w:r>
            <w:r w:rsidR="00B50C79">
              <w:rPr>
                <w:noProof/>
                <w:webHidden/>
              </w:rPr>
              <w:tab/>
            </w:r>
            <w:r w:rsidR="00B50C79">
              <w:rPr>
                <w:noProof/>
                <w:webHidden/>
              </w:rPr>
              <w:fldChar w:fldCharType="begin"/>
            </w:r>
            <w:r w:rsidR="00B50C79">
              <w:rPr>
                <w:noProof/>
                <w:webHidden/>
              </w:rPr>
              <w:instrText xml:space="preserve"> PAGEREF _Toc45026639 \h </w:instrText>
            </w:r>
            <w:r w:rsidR="00B50C79">
              <w:rPr>
                <w:noProof/>
                <w:webHidden/>
              </w:rPr>
            </w:r>
            <w:r w:rsidR="00B50C79">
              <w:rPr>
                <w:noProof/>
                <w:webHidden/>
              </w:rPr>
              <w:fldChar w:fldCharType="separate"/>
            </w:r>
            <w:r w:rsidR="00B50C79">
              <w:rPr>
                <w:noProof/>
                <w:webHidden/>
              </w:rPr>
              <w:t>4</w:t>
            </w:r>
            <w:r w:rsidR="00B50C79">
              <w:rPr>
                <w:noProof/>
                <w:webHidden/>
              </w:rPr>
              <w:fldChar w:fldCharType="end"/>
            </w:r>
          </w:hyperlink>
        </w:p>
        <w:p w14:paraId="78AFE389" w14:textId="74B9EF57" w:rsidR="00B50C79" w:rsidRDefault="00B50C79">
          <w:pPr>
            <w:pStyle w:val="TOC1"/>
            <w:tabs>
              <w:tab w:val="right" w:leader="dot" w:pos="9350"/>
            </w:tabs>
            <w:rPr>
              <w:rFonts w:eastAsiaTheme="minorEastAsia" w:cstheme="minorBidi"/>
              <w:noProof/>
            </w:rPr>
          </w:pPr>
          <w:hyperlink w:anchor="_Toc45026640" w:history="1">
            <w:r w:rsidRPr="00F23453">
              <w:rPr>
                <w:rStyle w:val="Hyperlink"/>
                <w:noProof/>
              </w:rPr>
              <w:t>Section I. Illinois Youth Survey 2020 Updates</w:t>
            </w:r>
            <w:r>
              <w:rPr>
                <w:noProof/>
                <w:webHidden/>
              </w:rPr>
              <w:tab/>
            </w:r>
            <w:r>
              <w:rPr>
                <w:noProof/>
                <w:webHidden/>
              </w:rPr>
              <w:fldChar w:fldCharType="begin"/>
            </w:r>
            <w:r>
              <w:rPr>
                <w:noProof/>
                <w:webHidden/>
              </w:rPr>
              <w:instrText xml:space="preserve"> PAGEREF _Toc45026640 \h </w:instrText>
            </w:r>
            <w:r>
              <w:rPr>
                <w:noProof/>
                <w:webHidden/>
              </w:rPr>
            </w:r>
            <w:r>
              <w:rPr>
                <w:noProof/>
                <w:webHidden/>
              </w:rPr>
              <w:fldChar w:fldCharType="separate"/>
            </w:r>
            <w:r>
              <w:rPr>
                <w:noProof/>
                <w:webHidden/>
              </w:rPr>
              <w:t>6</w:t>
            </w:r>
            <w:r>
              <w:rPr>
                <w:noProof/>
                <w:webHidden/>
              </w:rPr>
              <w:fldChar w:fldCharType="end"/>
            </w:r>
          </w:hyperlink>
        </w:p>
        <w:p w14:paraId="0EB90678" w14:textId="0414C842" w:rsidR="00B50C79" w:rsidRDefault="00B50C79">
          <w:pPr>
            <w:pStyle w:val="TOC1"/>
            <w:tabs>
              <w:tab w:val="right" w:leader="dot" w:pos="9350"/>
            </w:tabs>
            <w:rPr>
              <w:rFonts w:eastAsiaTheme="minorEastAsia" w:cstheme="minorBidi"/>
              <w:noProof/>
            </w:rPr>
          </w:pPr>
          <w:hyperlink w:anchor="_Toc45026641" w:history="1">
            <w:r w:rsidRPr="00F23453">
              <w:rPr>
                <w:rStyle w:val="Hyperlink"/>
                <w:noProof/>
              </w:rPr>
              <w:t>Section II. Health Disparities Updates</w:t>
            </w:r>
            <w:r>
              <w:rPr>
                <w:noProof/>
                <w:webHidden/>
              </w:rPr>
              <w:tab/>
            </w:r>
            <w:r>
              <w:rPr>
                <w:noProof/>
                <w:webHidden/>
              </w:rPr>
              <w:fldChar w:fldCharType="begin"/>
            </w:r>
            <w:r>
              <w:rPr>
                <w:noProof/>
                <w:webHidden/>
              </w:rPr>
              <w:instrText xml:space="preserve"> PAGEREF _Toc45026641 \h </w:instrText>
            </w:r>
            <w:r>
              <w:rPr>
                <w:noProof/>
                <w:webHidden/>
              </w:rPr>
            </w:r>
            <w:r>
              <w:rPr>
                <w:noProof/>
                <w:webHidden/>
              </w:rPr>
              <w:fldChar w:fldCharType="separate"/>
            </w:r>
            <w:r>
              <w:rPr>
                <w:noProof/>
                <w:webHidden/>
              </w:rPr>
              <w:t>8</w:t>
            </w:r>
            <w:r>
              <w:rPr>
                <w:noProof/>
                <w:webHidden/>
              </w:rPr>
              <w:fldChar w:fldCharType="end"/>
            </w:r>
          </w:hyperlink>
        </w:p>
        <w:p w14:paraId="6B39DB45" w14:textId="2C4F4B04" w:rsidR="00B50C79" w:rsidRDefault="00B50C79">
          <w:pPr>
            <w:pStyle w:val="TOC1"/>
            <w:tabs>
              <w:tab w:val="right" w:leader="dot" w:pos="9350"/>
            </w:tabs>
            <w:rPr>
              <w:rFonts w:eastAsiaTheme="minorEastAsia" w:cstheme="minorBidi"/>
              <w:noProof/>
            </w:rPr>
          </w:pPr>
          <w:hyperlink w:anchor="_Toc45026642" w:history="1">
            <w:r w:rsidRPr="00F23453">
              <w:rPr>
                <w:rStyle w:val="Hyperlink"/>
                <w:noProof/>
              </w:rPr>
              <w:t>Section III. COVID-19 Pandemic Effect on SPF-PFS Project</w:t>
            </w:r>
            <w:r>
              <w:rPr>
                <w:noProof/>
                <w:webHidden/>
              </w:rPr>
              <w:tab/>
            </w:r>
            <w:r>
              <w:rPr>
                <w:noProof/>
                <w:webHidden/>
              </w:rPr>
              <w:fldChar w:fldCharType="begin"/>
            </w:r>
            <w:r>
              <w:rPr>
                <w:noProof/>
                <w:webHidden/>
              </w:rPr>
              <w:instrText xml:space="preserve"> PAGEREF _Toc45026642 \h </w:instrText>
            </w:r>
            <w:r>
              <w:rPr>
                <w:noProof/>
                <w:webHidden/>
              </w:rPr>
            </w:r>
            <w:r>
              <w:rPr>
                <w:noProof/>
                <w:webHidden/>
              </w:rPr>
              <w:fldChar w:fldCharType="separate"/>
            </w:r>
            <w:r>
              <w:rPr>
                <w:noProof/>
                <w:webHidden/>
              </w:rPr>
              <w:t>9</w:t>
            </w:r>
            <w:r>
              <w:rPr>
                <w:noProof/>
                <w:webHidden/>
              </w:rPr>
              <w:fldChar w:fldCharType="end"/>
            </w:r>
          </w:hyperlink>
        </w:p>
        <w:p w14:paraId="259DD051" w14:textId="0EC5D092" w:rsidR="00B50C79" w:rsidRDefault="00B50C79">
          <w:pPr>
            <w:pStyle w:val="TOC2"/>
            <w:tabs>
              <w:tab w:val="right" w:leader="dot" w:pos="9350"/>
            </w:tabs>
            <w:rPr>
              <w:rFonts w:eastAsiaTheme="minorEastAsia" w:cstheme="minorBidi"/>
              <w:noProof/>
            </w:rPr>
          </w:pPr>
          <w:hyperlink w:anchor="_Toc45026643" w:history="1">
            <w:r w:rsidRPr="00F23453">
              <w:rPr>
                <w:rStyle w:val="Hyperlink"/>
                <w:noProof/>
              </w:rPr>
              <w:t>Illinois Youth Survey Data Collection</w:t>
            </w:r>
            <w:r>
              <w:rPr>
                <w:noProof/>
                <w:webHidden/>
              </w:rPr>
              <w:tab/>
            </w:r>
            <w:r>
              <w:rPr>
                <w:noProof/>
                <w:webHidden/>
              </w:rPr>
              <w:fldChar w:fldCharType="begin"/>
            </w:r>
            <w:r>
              <w:rPr>
                <w:noProof/>
                <w:webHidden/>
              </w:rPr>
              <w:instrText xml:space="preserve"> PAGEREF _Toc45026643 \h </w:instrText>
            </w:r>
            <w:r>
              <w:rPr>
                <w:noProof/>
                <w:webHidden/>
              </w:rPr>
            </w:r>
            <w:r>
              <w:rPr>
                <w:noProof/>
                <w:webHidden/>
              </w:rPr>
              <w:fldChar w:fldCharType="separate"/>
            </w:r>
            <w:r>
              <w:rPr>
                <w:noProof/>
                <w:webHidden/>
              </w:rPr>
              <w:t>9</w:t>
            </w:r>
            <w:r>
              <w:rPr>
                <w:noProof/>
                <w:webHidden/>
              </w:rPr>
              <w:fldChar w:fldCharType="end"/>
            </w:r>
          </w:hyperlink>
        </w:p>
        <w:p w14:paraId="324D7CC8" w14:textId="0D2F8C78" w:rsidR="00B50C79" w:rsidRDefault="00B50C79">
          <w:pPr>
            <w:pStyle w:val="TOC2"/>
            <w:tabs>
              <w:tab w:val="right" w:leader="dot" w:pos="9350"/>
            </w:tabs>
            <w:rPr>
              <w:rFonts w:eastAsiaTheme="minorEastAsia" w:cstheme="minorBidi"/>
              <w:noProof/>
            </w:rPr>
          </w:pPr>
          <w:hyperlink w:anchor="_Toc45026644" w:history="1">
            <w:r w:rsidRPr="00F23453">
              <w:rPr>
                <w:rStyle w:val="Hyperlink"/>
                <w:noProof/>
              </w:rPr>
              <w:t>Strategy Implementation</w:t>
            </w:r>
            <w:r>
              <w:rPr>
                <w:noProof/>
                <w:webHidden/>
              </w:rPr>
              <w:tab/>
            </w:r>
            <w:r>
              <w:rPr>
                <w:noProof/>
                <w:webHidden/>
              </w:rPr>
              <w:fldChar w:fldCharType="begin"/>
            </w:r>
            <w:r>
              <w:rPr>
                <w:noProof/>
                <w:webHidden/>
              </w:rPr>
              <w:instrText xml:space="preserve"> PAGEREF _Toc45026644 \h </w:instrText>
            </w:r>
            <w:r>
              <w:rPr>
                <w:noProof/>
                <w:webHidden/>
              </w:rPr>
            </w:r>
            <w:r>
              <w:rPr>
                <w:noProof/>
                <w:webHidden/>
              </w:rPr>
              <w:fldChar w:fldCharType="separate"/>
            </w:r>
            <w:r>
              <w:rPr>
                <w:noProof/>
                <w:webHidden/>
              </w:rPr>
              <w:t>9</w:t>
            </w:r>
            <w:r>
              <w:rPr>
                <w:noProof/>
                <w:webHidden/>
              </w:rPr>
              <w:fldChar w:fldCharType="end"/>
            </w:r>
          </w:hyperlink>
        </w:p>
        <w:p w14:paraId="61B8D7D3" w14:textId="23FEC5FA" w:rsidR="00B50C79" w:rsidRDefault="00B50C79">
          <w:pPr>
            <w:pStyle w:val="TOC1"/>
            <w:tabs>
              <w:tab w:val="right" w:leader="dot" w:pos="9350"/>
            </w:tabs>
            <w:rPr>
              <w:rFonts w:eastAsiaTheme="minorEastAsia" w:cstheme="minorBidi"/>
              <w:noProof/>
            </w:rPr>
          </w:pPr>
          <w:hyperlink w:anchor="_Toc45026645" w:history="1">
            <w:r w:rsidRPr="00F23453">
              <w:rPr>
                <w:rStyle w:val="Hyperlink"/>
                <w:noProof/>
              </w:rPr>
              <w:t>Section IV. Capacity and Infrastructure – Sub-Recipient Coalitions</w:t>
            </w:r>
            <w:r>
              <w:rPr>
                <w:noProof/>
                <w:webHidden/>
              </w:rPr>
              <w:tab/>
            </w:r>
            <w:r>
              <w:rPr>
                <w:noProof/>
                <w:webHidden/>
              </w:rPr>
              <w:fldChar w:fldCharType="begin"/>
            </w:r>
            <w:r>
              <w:rPr>
                <w:noProof/>
                <w:webHidden/>
              </w:rPr>
              <w:instrText xml:space="preserve"> PAGEREF _Toc45026645 \h </w:instrText>
            </w:r>
            <w:r>
              <w:rPr>
                <w:noProof/>
                <w:webHidden/>
              </w:rPr>
            </w:r>
            <w:r>
              <w:rPr>
                <w:noProof/>
                <w:webHidden/>
              </w:rPr>
              <w:fldChar w:fldCharType="separate"/>
            </w:r>
            <w:r>
              <w:rPr>
                <w:noProof/>
                <w:webHidden/>
              </w:rPr>
              <w:t>11</w:t>
            </w:r>
            <w:r>
              <w:rPr>
                <w:noProof/>
                <w:webHidden/>
              </w:rPr>
              <w:fldChar w:fldCharType="end"/>
            </w:r>
          </w:hyperlink>
        </w:p>
        <w:p w14:paraId="0B3CAB52" w14:textId="1F0BD1E9" w:rsidR="00B50C79" w:rsidRDefault="00B50C79">
          <w:pPr>
            <w:pStyle w:val="TOC2"/>
            <w:tabs>
              <w:tab w:val="right" w:leader="dot" w:pos="9350"/>
            </w:tabs>
            <w:rPr>
              <w:rFonts w:eastAsiaTheme="minorEastAsia" w:cstheme="minorBidi"/>
              <w:noProof/>
            </w:rPr>
          </w:pPr>
          <w:hyperlink w:anchor="_Toc45026646" w:history="1">
            <w:r w:rsidRPr="00F23453">
              <w:rPr>
                <w:rStyle w:val="Hyperlink"/>
                <w:noProof/>
              </w:rPr>
              <w:t>Ann &amp; Robert H. Lurie Children’s Hospital</w:t>
            </w:r>
            <w:r>
              <w:rPr>
                <w:noProof/>
                <w:webHidden/>
              </w:rPr>
              <w:tab/>
            </w:r>
            <w:r>
              <w:rPr>
                <w:noProof/>
                <w:webHidden/>
              </w:rPr>
              <w:fldChar w:fldCharType="begin"/>
            </w:r>
            <w:r>
              <w:rPr>
                <w:noProof/>
                <w:webHidden/>
              </w:rPr>
              <w:instrText xml:space="preserve"> PAGEREF _Toc45026646 \h </w:instrText>
            </w:r>
            <w:r>
              <w:rPr>
                <w:noProof/>
                <w:webHidden/>
              </w:rPr>
            </w:r>
            <w:r>
              <w:rPr>
                <w:noProof/>
                <w:webHidden/>
              </w:rPr>
              <w:fldChar w:fldCharType="separate"/>
            </w:r>
            <w:r>
              <w:rPr>
                <w:noProof/>
                <w:webHidden/>
              </w:rPr>
              <w:t>11</w:t>
            </w:r>
            <w:r>
              <w:rPr>
                <w:noProof/>
                <w:webHidden/>
              </w:rPr>
              <w:fldChar w:fldCharType="end"/>
            </w:r>
          </w:hyperlink>
        </w:p>
        <w:p w14:paraId="31853152" w14:textId="195FFB88" w:rsidR="00B50C79" w:rsidRDefault="00B50C79">
          <w:pPr>
            <w:pStyle w:val="TOC2"/>
            <w:tabs>
              <w:tab w:val="right" w:leader="dot" w:pos="9350"/>
            </w:tabs>
            <w:rPr>
              <w:rFonts w:eastAsiaTheme="minorEastAsia" w:cstheme="minorBidi"/>
              <w:noProof/>
            </w:rPr>
          </w:pPr>
          <w:hyperlink w:anchor="_Toc45026647" w:history="1">
            <w:r w:rsidRPr="00F23453">
              <w:rPr>
                <w:rStyle w:val="Hyperlink"/>
                <w:noProof/>
              </w:rPr>
              <w:t>Jane Addams, Inc. dba FHN Family Counseling Center</w:t>
            </w:r>
            <w:r>
              <w:rPr>
                <w:noProof/>
                <w:webHidden/>
              </w:rPr>
              <w:tab/>
            </w:r>
            <w:r>
              <w:rPr>
                <w:noProof/>
                <w:webHidden/>
              </w:rPr>
              <w:fldChar w:fldCharType="begin"/>
            </w:r>
            <w:r>
              <w:rPr>
                <w:noProof/>
                <w:webHidden/>
              </w:rPr>
              <w:instrText xml:space="preserve"> PAGEREF _Toc45026647 \h </w:instrText>
            </w:r>
            <w:r>
              <w:rPr>
                <w:noProof/>
                <w:webHidden/>
              </w:rPr>
            </w:r>
            <w:r>
              <w:rPr>
                <w:noProof/>
                <w:webHidden/>
              </w:rPr>
              <w:fldChar w:fldCharType="separate"/>
            </w:r>
            <w:r>
              <w:rPr>
                <w:noProof/>
                <w:webHidden/>
              </w:rPr>
              <w:t>11</w:t>
            </w:r>
            <w:r>
              <w:rPr>
                <w:noProof/>
                <w:webHidden/>
              </w:rPr>
              <w:fldChar w:fldCharType="end"/>
            </w:r>
          </w:hyperlink>
        </w:p>
        <w:p w14:paraId="5DC1EA08" w14:textId="7552CD9D" w:rsidR="00B50C79" w:rsidRDefault="00B50C79">
          <w:pPr>
            <w:pStyle w:val="TOC2"/>
            <w:tabs>
              <w:tab w:val="right" w:leader="dot" w:pos="9350"/>
            </w:tabs>
            <w:rPr>
              <w:rFonts w:eastAsiaTheme="minorEastAsia" w:cstheme="minorBidi"/>
              <w:noProof/>
            </w:rPr>
          </w:pPr>
          <w:hyperlink w:anchor="_Toc45026648" w:history="1">
            <w:r w:rsidRPr="00F23453">
              <w:rPr>
                <w:rStyle w:val="Hyperlink"/>
                <w:noProof/>
              </w:rPr>
              <w:t>Iroquois-Kankakee Regional Office of Education</w:t>
            </w:r>
            <w:r>
              <w:rPr>
                <w:noProof/>
                <w:webHidden/>
              </w:rPr>
              <w:tab/>
            </w:r>
            <w:r>
              <w:rPr>
                <w:noProof/>
                <w:webHidden/>
              </w:rPr>
              <w:fldChar w:fldCharType="begin"/>
            </w:r>
            <w:r>
              <w:rPr>
                <w:noProof/>
                <w:webHidden/>
              </w:rPr>
              <w:instrText xml:space="preserve"> PAGEREF _Toc45026648 \h </w:instrText>
            </w:r>
            <w:r>
              <w:rPr>
                <w:noProof/>
                <w:webHidden/>
              </w:rPr>
            </w:r>
            <w:r>
              <w:rPr>
                <w:noProof/>
                <w:webHidden/>
              </w:rPr>
              <w:fldChar w:fldCharType="separate"/>
            </w:r>
            <w:r>
              <w:rPr>
                <w:noProof/>
                <w:webHidden/>
              </w:rPr>
              <w:t>12</w:t>
            </w:r>
            <w:r>
              <w:rPr>
                <w:noProof/>
                <w:webHidden/>
              </w:rPr>
              <w:fldChar w:fldCharType="end"/>
            </w:r>
          </w:hyperlink>
        </w:p>
        <w:p w14:paraId="733C2D8A" w14:textId="0431FA7D" w:rsidR="00B50C79" w:rsidRDefault="00B50C79">
          <w:pPr>
            <w:pStyle w:val="TOC2"/>
            <w:tabs>
              <w:tab w:val="right" w:leader="dot" w:pos="9350"/>
            </w:tabs>
            <w:rPr>
              <w:rFonts w:eastAsiaTheme="minorEastAsia" w:cstheme="minorBidi"/>
              <w:noProof/>
            </w:rPr>
          </w:pPr>
          <w:hyperlink w:anchor="_Toc45026649" w:history="1">
            <w:r w:rsidRPr="00F23453">
              <w:rPr>
                <w:rStyle w:val="Hyperlink"/>
                <w:noProof/>
              </w:rPr>
              <w:t>Kenneth Young Center</w:t>
            </w:r>
            <w:r>
              <w:rPr>
                <w:noProof/>
                <w:webHidden/>
              </w:rPr>
              <w:tab/>
            </w:r>
            <w:r>
              <w:rPr>
                <w:noProof/>
                <w:webHidden/>
              </w:rPr>
              <w:fldChar w:fldCharType="begin"/>
            </w:r>
            <w:r>
              <w:rPr>
                <w:noProof/>
                <w:webHidden/>
              </w:rPr>
              <w:instrText xml:space="preserve"> PAGEREF _Toc45026649 \h </w:instrText>
            </w:r>
            <w:r>
              <w:rPr>
                <w:noProof/>
                <w:webHidden/>
              </w:rPr>
            </w:r>
            <w:r>
              <w:rPr>
                <w:noProof/>
                <w:webHidden/>
              </w:rPr>
              <w:fldChar w:fldCharType="separate"/>
            </w:r>
            <w:r>
              <w:rPr>
                <w:noProof/>
                <w:webHidden/>
              </w:rPr>
              <w:t>12</w:t>
            </w:r>
            <w:r>
              <w:rPr>
                <w:noProof/>
                <w:webHidden/>
              </w:rPr>
              <w:fldChar w:fldCharType="end"/>
            </w:r>
          </w:hyperlink>
        </w:p>
        <w:p w14:paraId="66ABF1E7" w14:textId="6681DD57" w:rsidR="00B50C79" w:rsidRDefault="00B50C79">
          <w:pPr>
            <w:pStyle w:val="TOC2"/>
            <w:tabs>
              <w:tab w:val="right" w:leader="dot" w:pos="9350"/>
            </w:tabs>
            <w:rPr>
              <w:rFonts w:eastAsiaTheme="minorEastAsia" w:cstheme="minorBidi"/>
              <w:noProof/>
            </w:rPr>
          </w:pPr>
          <w:hyperlink w:anchor="_Toc45026650" w:history="1">
            <w:r w:rsidRPr="00F23453">
              <w:rPr>
                <w:rStyle w:val="Hyperlink"/>
                <w:noProof/>
              </w:rPr>
              <w:t>Oak Park Township</w:t>
            </w:r>
            <w:r>
              <w:rPr>
                <w:noProof/>
                <w:webHidden/>
              </w:rPr>
              <w:tab/>
            </w:r>
            <w:r>
              <w:rPr>
                <w:noProof/>
                <w:webHidden/>
              </w:rPr>
              <w:fldChar w:fldCharType="begin"/>
            </w:r>
            <w:r>
              <w:rPr>
                <w:noProof/>
                <w:webHidden/>
              </w:rPr>
              <w:instrText xml:space="preserve"> PAGEREF _Toc45026650 \h </w:instrText>
            </w:r>
            <w:r>
              <w:rPr>
                <w:noProof/>
                <w:webHidden/>
              </w:rPr>
            </w:r>
            <w:r>
              <w:rPr>
                <w:noProof/>
                <w:webHidden/>
              </w:rPr>
              <w:fldChar w:fldCharType="separate"/>
            </w:r>
            <w:r>
              <w:rPr>
                <w:noProof/>
                <w:webHidden/>
              </w:rPr>
              <w:t>13</w:t>
            </w:r>
            <w:r>
              <w:rPr>
                <w:noProof/>
                <w:webHidden/>
              </w:rPr>
              <w:fldChar w:fldCharType="end"/>
            </w:r>
          </w:hyperlink>
        </w:p>
        <w:p w14:paraId="6D6C24F9" w14:textId="2C2AE52D" w:rsidR="00B50C79" w:rsidRDefault="00B50C79">
          <w:pPr>
            <w:pStyle w:val="TOC2"/>
            <w:tabs>
              <w:tab w:val="right" w:leader="dot" w:pos="9350"/>
            </w:tabs>
            <w:rPr>
              <w:rFonts w:eastAsiaTheme="minorEastAsia" w:cstheme="minorBidi"/>
              <w:noProof/>
            </w:rPr>
          </w:pPr>
          <w:hyperlink w:anchor="_Toc45026651" w:history="1">
            <w:r w:rsidRPr="00F23453">
              <w:rPr>
                <w:rStyle w:val="Hyperlink"/>
                <w:noProof/>
              </w:rPr>
              <w:t>Overall Sector Representation</w:t>
            </w:r>
            <w:r>
              <w:rPr>
                <w:noProof/>
                <w:webHidden/>
              </w:rPr>
              <w:tab/>
            </w:r>
            <w:r>
              <w:rPr>
                <w:noProof/>
                <w:webHidden/>
              </w:rPr>
              <w:fldChar w:fldCharType="begin"/>
            </w:r>
            <w:r>
              <w:rPr>
                <w:noProof/>
                <w:webHidden/>
              </w:rPr>
              <w:instrText xml:space="preserve"> PAGEREF _Toc45026651 \h </w:instrText>
            </w:r>
            <w:r>
              <w:rPr>
                <w:noProof/>
                <w:webHidden/>
              </w:rPr>
            </w:r>
            <w:r>
              <w:rPr>
                <w:noProof/>
                <w:webHidden/>
              </w:rPr>
              <w:fldChar w:fldCharType="separate"/>
            </w:r>
            <w:r>
              <w:rPr>
                <w:noProof/>
                <w:webHidden/>
              </w:rPr>
              <w:t>13</w:t>
            </w:r>
            <w:r>
              <w:rPr>
                <w:noProof/>
                <w:webHidden/>
              </w:rPr>
              <w:fldChar w:fldCharType="end"/>
            </w:r>
          </w:hyperlink>
        </w:p>
        <w:p w14:paraId="68D36089" w14:textId="1127C5B8" w:rsidR="00B50C79" w:rsidRDefault="00B50C79">
          <w:pPr>
            <w:pStyle w:val="TOC1"/>
            <w:tabs>
              <w:tab w:val="right" w:leader="dot" w:pos="9350"/>
            </w:tabs>
            <w:rPr>
              <w:rFonts w:eastAsiaTheme="minorEastAsia" w:cstheme="minorBidi"/>
              <w:noProof/>
            </w:rPr>
          </w:pPr>
          <w:hyperlink w:anchor="_Toc45026652" w:history="1">
            <w:r w:rsidRPr="00F23453">
              <w:rPr>
                <w:rStyle w:val="Hyperlink"/>
                <w:noProof/>
              </w:rPr>
              <w:t>Section V. Statewide Epidemiological Outcomes Workgroup</w:t>
            </w:r>
            <w:r>
              <w:rPr>
                <w:noProof/>
                <w:webHidden/>
              </w:rPr>
              <w:tab/>
            </w:r>
            <w:r>
              <w:rPr>
                <w:noProof/>
                <w:webHidden/>
              </w:rPr>
              <w:fldChar w:fldCharType="begin"/>
            </w:r>
            <w:r>
              <w:rPr>
                <w:noProof/>
                <w:webHidden/>
              </w:rPr>
              <w:instrText xml:space="preserve"> PAGEREF _Toc45026652 \h </w:instrText>
            </w:r>
            <w:r>
              <w:rPr>
                <w:noProof/>
                <w:webHidden/>
              </w:rPr>
            </w:r>
            <w:r>
              <w:rPr>
                <w:noProof/>
                <w:webHidden/>
              </w:rPr>
              <w:fldChar w:fldCharType="separate"/>
            </w:r>
            <w:r>
              <w:rPr>
                <w:noProof/>
                <w:webHidden/>
              </w:rPr>
              <w:t>14</w:t>
            </w:r>
            <w:r>
              <w:rPr>
                <w:noProof/>
                <w:webHidden/>
              </w:rPr>
              <w:fldChar w:fldCharType="end"/>
            </w:r>
          </w:hyperlink>
        </w:p>
        <w:p w14:paraId="102B602F" w14:textId="0C7F858F" w:rsidR="00B50C79" w:rsidRDefault="00B50C79">
          <w:pPr>
            <w:pStyle w:val="TOC1"/>
            <w:tabs>
              <w:tab w:val="right" w:leader="dot" w:pos="9350"/>
            </w:tabs>
            <w:rPr>
              <w:rFonts w:eastAsiaTheme="minorEastAsia" w:cstheme="minorBidi"/>
              <w:noProof/>
            </w:rPr>
          </w:pPr>
          <w:hyperlink w:anchor="_Toc45026653" w:history="1">
            <w:r w:rsidRPr="00F23453">
              <w:rPr>
                <w:rStyle w:val="Hyperlink"/>
                <w:noProof/>
              </w:rPr>
              <w:t>Section VI. Concluding Remarks</w:t>
            </w:r>
            <w:r>
              <w:rPr>
                <w:noProof/>
                <w:webHidden/>
              </w:rPr>
              <w:tab/>
            </w:r>
            <w:r>
              <w:rPr>
                <w:noProof/>
                <w:webHidden/>
              </w:rPr>
              <w:fldChar w:fldCharType="begin"/>
            </w:r>
            <w:r>
              <w:rPr>
                <w:noProof/>
                <w:webHidden/>
              </w:rPr>
              <w:instrText xml:space="preserve"> PAGEREF _Toc45026653 \h </w:instrText>
            </w:r>
            <w:r>
              <w:rPr>
                <w:noProof/>
                <w:webHidden/>
              </w:rPr>
            </w:r>
            <w:r>
              <w:rPr>
                <w:noProof/>
                <w:webHidden/>
              </w:rPr>
              <w:fldChar w:fldCharType="separate"/>
            </w:r>
            <w:r>
              <w:rPr>
                <w:noProof/>
                <w:webHidden/>
              </w:rPr>
              <w:t>15</w:t>
            </w:r>
            <w:r>
              <w:rPr>
                <w:noProof/>
                <w:webHidden/>
              </w:rPr>
              <w:fldChar w:fldCharType="end"/>
            </w:r>
          </w:hyperlink>
        </w:p>
        <w:p w14:paraId="47BE40BD" w14:textId="6B159A94" w:rsidR="00AE5EAA" w:rsidRDefault="00C6328F">
          <w:r>
            <w:rPr>
              <w:b/>
              <w:bCs/>
              <w:noProof/>
            </w:rPr>
            <w:fldChar w:fldCharType="end"/>
          </w:r>
        </w:p>
      </w:sdtContent>
    </w:sdt>
    <w:p w14:paraId="6C63AE5F" w14:textId="17A3EBBA" w:rsidR="00AE5EAA" w:rsidRDefault="00AE5EAA">
      <w:pPr>
        <w:spacing w:line="259" w:lineRule="auto"/>
      </w:pPr>
      <w:r>
        <w:br w:type="page"/>
      </w:r>
    </w:p>
    <w:p w14:paraId="2894B478" w14:textId="77777777" w:rsidR="002C27D8" w:rsidRPr="00704730" w:rsidRDefault="002C27D8" w:rsidP="002C27D8">
      <w:pPr>
        <w:pStyle w:val="Heading1"/>
        <w:rPr>
          <w:b w:val="0"/>
        </w:rPr>
      </w:pPr>
      <w:bookmarkStart w:id="0" w:name="_Toc45026639"/>
      <w:r>
        <w:lastRenderedPageBreak/>
        <w:t>Continuation of SPF-PFS Funding</w:t>
      </w:r>
      <w:bookmarkEnd w:id="0"/>
      <w:r>
        <w:t xml:space="preserve"> </w:t>
      </w:r>
    </w:p>
    <w:p w14:paraId="216927C8" w14:textId="77777777" w:rsidR="00B73098" w:rsidRDefault="00B73098" w:rsidP="00B73098">
      <w:pPr>
        <w:spacing w:after="0" w:line="240" w:lineRule="auto"/>
      </w:pPr>
      <w:bookmarkStart w:id="1" w:name="_Hlk44421148"/>
      <w:r>
        <w:t>The SPF-PFS grant in Illinois was originally slated to end on September 29, 2019. The state fiscal year ends on June 30</w:t>
      </w:r>
      <w:r w:rsidRPr="008368B8">
        <w:rPr>
          <w:vertAlign w:val="superscript"/>
        </w:rPr>
        <w:t>th</w:t>
      </w:r>
      <w:r>
        <w:t xml:space="preserve"> and due to funding availability, 3-month grant agreements were offered to all 8 funded sub-recipients. Five of the sub-recipients accepted the funding. In September of 2019, IDHS offered an extension for 9 months that would end on June 30, 2020 due to an approved No Cost Extension from the Substance Abuse and Mental Health Services Administration (SAMHSA). Five subrecipients received grant agreements for the no cost extension period. The following report is an addendum to the original report and covers the communities funded from October 1, 2019 through June 30, 2020. Below is a list of the original 8 funded communities and their continuation status. </w:t>
      </w:r>
    </w:p>
    <w:bookmarkEnd w:id="1"/>
    <w:p w14:paraId="5A27DDA7" w14:textId="77777777" w:rsidR="00B73098" w:rsidRDefault="00B73098" w:rsidP="00B73098">
      <w:pPr>
        <w:spacing w:after="0" w:line="240" w:lineRule="auto"/>
      </w:pPr>
      <w:r>
        <w:t xml:space="preserve"> </w:t>
      </w:r>
    </w:p>
    <w:p w14:paraId="787E7F9B" w14:textId="59C526F4" w:rsidR="004A4B65" w:rsidRDefault="004A4B65" w:rsidP="002C27D8">
      <w:pPr>
        <w:spacing w:after="0" w:line="240" w:lineRule="auto"/>
      </w:pPr>
      <w:r>
        <w:t xml:space="preserve">Agency closed in </w:t>
      </w:r>
      <w:r w:rsidR="00422835">
        <w:t>March</w:t>
      </w:r>
      <w:r>
        <w:t xml:space="preserve"> 2017:</w:t>
      </w:r>
    </w:p>
    <w:p w14:paraId="4D6B06EC" w14:textId="412673B8" w:rsidR="004A4B65" w:rsidRDefault="004A4B65" w:rsidP="004A4B65">
      <w:pPr>
        <w:pStyle w:val="ListParagraph"/>
        <w:numPr>
          <w:ilvl w:val="0"/>
          <w:numId w:val="9"/>
        </w:numPr>
        <w:spacing w:after="0" w:line="240" w:lineRule="auto"/>
      </w:pPr>
      <w:r>
        <w:t>Wells Center (covering Morgan County)</w:t>
      </w:r>
    </w:p>
    <w:p w14:paraId="15FA935C" w14:textId="77777777" w:rsidR="004A4B65" w:rsidRDefault="004A4B65" w:rsidP="002C27D8">
      <w:pPr>
        <w:spacing w:after="0" w:line="240" w:lineRule="auto"/>
      </w:pPr>
    </w:p>
    <w:p w14:paraId="5E789953" w14:textId="27F2502D" w:rsidR="002C27D8" w:rsidRDefault="002C27D8" w:rsidP="002C27D8">
      <w:pPr>
        <w:spacing w:after="0" w:line="240" w:lineRule="auto"/>
      </w:pPr>
      <w:r>
        <w:t>Funding ended on July 1, 2019:</w:t>
      </w:r>
    </w:p>
    <w:p w14:paraId="539EF039" w14:textId="77777777" w:rsidR="002C27D8" w:rsidRDefault="002C27D8" w:rsidP="004A4B65">
      <w:pPr>
        <w:pStyle w:val="ListParagraph"/>
        <w:numPr>
          <w:ilvl w:val="0"/>
          <w:numId w:val="9"/>
        </w:numPr>
        <w:spacing w:after="0" w:line="240" w:lineRule="auto"/>
      </w:pPr>
      <w:r>
        <w:t>Piatt County Mental Health Center (covering DeWitt County)</w:t>
      </w:r>
    </w:p>
    <w:p w14:paraId="1372AA34" w14:textId="77777777" w:rsidR="002C27D8" w:rsidRDefault="002C27D8" w:rsidP="004A4B65">
      <w:pPr>
        <w:pStyle w:val="ListParagraph"/>
        <w:numPr>
          <w:ilvl w:val="0"/>
          <w:numId w:val="9"/>
        </w:numPr>
        <w:spacing w:after="0" w:line="240" w:lineRule="auto"/>
      </w:pPr>
      <w:r>
        <w:t>Bremen Youth Services (covering the suburban cities of Orland Park and Tinley Park)</w:t>
      </w:r>
    </w:p>
    <w:p w14:paraId="30F84B28" w14:textId="77777777" w:rsidR="002C27D8" w:rsidRDefault="002C27D8" w:rsidP="002C27D8">
      <w:pPr>
        <w:spacing w:after="0" w:line="240" w:lineRule="auto"/>
      </w:pPr>
    </w:p>
    <w:p w14:paraId="40681533" w14:textId="77777777" w:rsidR="002C27D8" w:rsidRDefault="002C27D8" w:rsidP="002C27D8">
      <w:pPr>
        <w:spacing w:after="0" w:line="240" w:lineRule="auto"/>
      </w:pPr>
      <w:r>
        <w:t>Funding ended on September 30, 2019:</w:t>
      </w:r>
    </w:p>
    <w:p w14:paraId="74020CEE" w14:textId="77777777" w:rsidR="002C27D8" w:rsidRDefault="002C27D8" w:rsidP="004A4B65">
      <w:pPr>
        <w:pStyle w:val="ListParagraph"/>
        <w:numPr>
          <w:ilvl w:val="0"/>
          <w:numId w:val="9"/>
        </w:numPr>
        <w:spacing w:after="0" w:line="240" w:lineRule="auto"/>
      </w:pPr>
      <w:r>
        <w:t>Human Services Center of Southern Metro East (covering Randolph County)</w:t>
      </w:r>
    </w:p>
    <w:p w14:paraId="0DB70AA3" w14:textId="77777777" w:rsidR="002C27D8" w:rsidRDefault="002C27D8" w:rsidP="002C27D8">
      <w:pPr>
        <w:spacing w:after="0" w:line="240" w:lineRule="auto"/>
      </w:pPr>
    </w:p>
    <w:p w14:paraId="421FD293" w14:textId="77777777" w:rsidR="002C27D8" w:rsidRDefault="002C27D8" w:rsidP="002C27D8">
      <w:pPr>
        <w:spacing w:after="0" w:line="240" w:lineRule="auto"/>
      </w:pPr>
      <w:r>
        <w:t>Funded until June 30, 2020:</w:t>
      </w:r>
    </w:p>
    <w:p w14:paraId="59DE368E" w14:textId="77777777" w:rsidR="002C27D8" w:rsidRDefault="002C27D8" w:rsidP="004A4B65">
      <w:pPr>
        <w:pStyle w:val="ListParagraph"/>
        <w:numPr>
          <w:ilvl w:val="0"/>
          <w:numId w:val="9"/>
        </w:numPr>
        <w:spacing w:after="0" w:line="240" w:lineRule="auto"/>
      </w:pPr>
      <w:r>
        <w:t xml:space="preserve">Ann and Robert H. Lurie Children’s Hospital (covering the city of Chicago) </w:t>
      </w:r>
    </w:p>
    <w:p w14:paraId="3CDFC7AB" w14:textId="77777777" w:rsidR="002C27D8" w:rsidRDefault="002C27D8" w:rsidP="004A4B65">
      <w:pPr>
        <w:pStyle w:val="ListParagraph"/>
        <w:numPr>
          <w:ilvl w:val="0"/>
          <w:numId w:val="9"/>
        </w:numPr>
        <w:spacing w:after="0" w:line="240" w:lineRule="auto"/>
      </w:pPr>
      <w:r>
        <w:t>Freeport Health Network (covering Jo Daviess County)</w:t>
      </w:r>
    </w:p>
    <w:p w14:paraId="6FFBBC0B" w14:textId="77777777" w:rsidR="002C27D8" w:rsidRDefault="002C27D8" w:rsidP="004A4B65">
      <w:pPr>
        <w:pStyle w:val="ListParagraph"/>
        <w:numPr>
          <w:ilvl w:val="0"/>
          <w:numId w:val="9"/>
        </w:numPr>
        <w:spacing w:after="0" w:line="240" w:lineRule="auto"/>
      </w:pPr>
      <w:r>
        <w:t>Iroquois-Kankakee Regional Office of Education (covering Iroquois County)</w:t>
      </w:r>
    </w:p>
    <w:p w14:paraId="2769D26E" w14:textId="77777777" w:rsidR="002C27D8" w:rsidRDefault="002C27D8" w:rsidP="004A4B65">
      <w:pPr>
        <w:pStyle w:val="ListParagraph"/>
        <w:numPr>
          <w:ilvl w:val="0"/>
          <w:numId w:val="9"/>
        </w:numPr>
        <w:spacing w:after="0" w:line="240" w:lineRule="auto"/>
      </w:pPr>
      <w:r>
        <w:t>Oak Park Township (covering the suburban cities of Oak Park and River Forest)</w:t>
      </w:r>
    </w:p>
    <w:p w14:paraId="21BA971C" w14:textId="77777777" w:rsidR="002C27D8" w:rsidRDefault="002C27D8" w:rsidP="004A4B65">
      <w:pPr>
        <w:pStyle w:val="ListParagraph"/>
        <w:numPr>
          <w:ilvl w:val="0"/>
          <w:numId w:val="9"/>
        </w:numPr>
        <w:spacing w:after="0" w:line="240" w:lineRule="auto"/>
      </w:pPr>
      <w:r>
        <w:t>Kenneth Young Center (covering the suburban cities of Palatine, Hoffman Estates, and Schaumburg)</w:t>
      </w:r>
    </w:p>
    <w:p w14:paraId="0E43DC26" w14:textId="77777777" w:rsidR="002C27D8" w:rsidRDefault="002C27D8" w:rsidP="002C27D8">
      <w:pPr>
        <w:spacing w:after="0" w:line="240" w:lineRule="auto"/>
      </w:pPr>
    </w:p>
    <w:p w14:paraId="5C616283" w14:textId="5FF1BD8E" w:rsidR="002C27D8" w:rsidRDefault="002C27D8" w:rsidP="002C27D8">
      <w:pPr>
        <w:spacing w:after="0" w:line="240" w:lineRule="auto"/>
      </w:pPr>
      <w:r>
        <w:t>Piatt Mental Health Services and Human Services Center of Southern Metro East decided to move on to new community initiatives and, unfortunately, Bremen Youth Services closed in June of 2019. Ann and Robert H. Lurie Children’s Hospital was originally funded to recruit the city of Chicago random sample of schools</w:t>
      </w:r>
      <w:r w:rsidR="00FA656E">
        <w:t xml:space="preserve"> for the Illinois Youth Survey</w:t>
      </w:r>
      <w:r>
        <w:t xml:space="preserve">, but this was discontinued during the extension. IDHS decided to partner with a new community agency in Chicago </w:t>
      </w:r>
      <w:r w:rsidR="00A67120">
        <w:t xml:space="preserve">to recruit the IYS sample schools within the city of Chicago </w:t>
      </w:r>
      <w:r>
        <w:t xml:space="preserve">since this funding stream was originally slated to end. </w:t>
      </w:r>
      <w:r w:rsidR="00C5075A">
        <w:t xml:space="preserve">However, </w:t>
      </w:r>
      <w:r>
        <w:t xml:space="preserve">Ann and Robert H. Lurie Children’s Hospital continued their community coalition and implementation of their evidence-based strategies during the extension period. </w:t>
      </w:r>
    </w:p>
    <w:p w14:paraId="58EDD537" w14:textId="77777777" w:rsidR="00FA656E" w:rsidRDefault="00FA656E" w:rsidP="002C27D8">
      <w:pPr>
        <w:spacing w:after="0" w:line="240" w:lineRule="auto"/>
      </w:pPr>
    </w:p>
    <w:p w14:paraId="7E6D3759" w14:textId="7B74382D" w:rsidR="00FA656E" w:rsidRDefault="00A67120" w:rsidP="002C27D8">
      <w:pPr>
        <w:spacing w:after="0" w:line="240" w:lineRule="auto"/>
      </w:pPr>
      <w:r>
        <w:t xml:space="preserve">The data provided by the Illinois Youth Survey is integral to the SPF model therefore all sites were to engage in recruiting schools to register for the IYS and then help with IYS administration for all schools within their service area. </w:t>
      </w:r>
      <w:r w:rsidR="00FA656E">
        <w:t xml:space="preserve">Individual schools could begin registering for the Illinois Youth Survey </w:t>
      </w:r>
      <w:r>
        <w:t>as early as</w:t>
      </w:r>
      <w:r w:rsidR="00FA656E">
        <w:t xml:space="preserve"> the Fall of 2019 by selecting a survey date of their choice between January and June of 2020</w:t>
      </w:r>
      <w:r>
        <w:t xml:space="preserve"> – the designated 2020 administration period</w:t>
      </w:r>
      <w:r w:rsidR="00FA656E">
        <w:t xml:space="preserve">. Beginning in January 2020, </w:t>
      </w:r>
      <w:r w:rsidR="002C27D8">
        <w:t>the</w:t>
      </w:r>
      <w:r w:rsidR="004054CE">
        <w:t xml:space="preserve"> </w:t>
      </w:r>
      <w:r w:rsidR="00FA656E">
        <w:t xml:space="preserve">IYS </w:t>
      </w:r>
      <w:r w:rsidR="002C27D8">
        <w:t xml:space="preserve">was </w:t>
      </w:r>
      <w:r w:rsidR="004054CE">
        <w:t>available</w:t>
      </w:r>
      <w:r w:rsidR="002C27D8">
        <w:t xml:space="preserve"> to 8</w:t>
      </w:r>
      <w:r w:rsidR="002C27D8" w:rsidRPr="0089215B">
        <w:rPr>
          <w:vertAlign w:val="superscript"/>
        </w:rPr>
        <w:t>th</w:t>
      </w:r>
      <w:r w:rsidR="002C27D8">
        <w:t>, 10</w:t>
      </w:r>
      <w:r w:rsidR="002C27D8" w:rsidRPr="0089215B">
        <w:rPr>
          <w:vertAlign w:val="superscript"/>
        </w:rPr>
        <w:t>th</w:t>
      </w:r>
      <w:r w:rsidR="002C27D8">
        <w:t>, and 12</w:t>
      </w:r>
      <w:r w:rsidR="002C27D8" w:rsidRPr="0089215B">
        <w:rPr>
          <w:vertAlign w:val="superscript"/>
        </w:rPr>
        <w:t>th</w:t>
      </w:r>
      <w:r w:rsidR="002C27D8">
        <w:t xml:space="preserve"> grade youth throughout Illinois. </w:t>
      </w:r>
      <w:r w:rsidR="00FA656E">
        <w:t>Upon registering, s</w:t>
      </w:r>
      <w:r w:rsidR="004054CE">
        <w:t>chools are always strongly encouraged to set a survey date early in the semester.</w:t>
      </w:r>
      <w:r w:rsidR="00FA656E">
        <w:t xml:space="preserve"> This became uniquely important in 2020 because </w:t>
      </w:r>
      <w:r w:rsidR="004054CE">
        <w:t xml:space="preserve">the IYS must be administered in a school-based classroom setting and </w:t>
      </w:r>
      <w:r w:rsidR="00FA656E">
        <w:t xml:space="preserve">by mid-March, </w:t>
      </w:r>
      <w:r w:rsidR="004054CE">
        <w:t>all Illinois schools were closed due to the COVID-19 pandemic</w:t>
      </w:r>
      <w:r w:rsidR="00FA656E">
        <w:t xml:space="preserve">. Therefore, </w:t>
      </w:r>
      <w:r w:rsidR="004054CE">
        <w:t xml:space="preserve">2020 became the first year in the history of the IYS that the </w:t>
      </w:r>
      <w:r w:rsidR="004054CE">
        <w:lastRenderedPageBreak/>
        <w:t>survey was closed for participation as of March 16</w:t>
      </w:r>
      <w:r w:rsidR="00FA656E">
        <w:t xml:space="preserve"> and s</w:t>
      </w:r>
      <w:r w:rsidR="004054CE">
        <w:t xml:space="preserve">chools that had </w:t>
      </w:r>
      <w:r w:rsidR="00FA656E">
        <w:t xml:space="preserve">previously </w:t>
      </w:r>
      <w:r w:rsidR="004054CE">
        <w:t xml:space="preserve">registered for a survey date after March 16 </w:t>
      </w:r>
      <w:r w:rsidR="00FA656E">
        <w:t xml:space="preserve">were unable to complete the survey. </w:t>
      </w:r>
    </w:p>
    <w:p w14:paraId="47F1E7A0" w14:textId="77777777" w:rsidR="00FA656E" w:rsidRDefault="00FA656E" w:rsidP="002C27D8">
      <w:pPr>
        <w:spacing w:after="0" w:line="240" w:lineRule="auto"/>
      </w:pPr>
    </w:p>
    <w:p w14:paraId="573AA942" w14:textId="3D878174" w:rsidR="002C27D8" w:rsidRDefault="002C27D8" w:rsidP="002C27D8">
      <w:pPr>
        <w:spacing w:after="0" w:line="240" w:lineRule="auto"/>
      </w:pPr>
      <w:r>
        <w:t xml:space="preserve">Section I of this report covers the IYS administration in 2020 compared to previously collected data in 2014, 2016, and 2018. Section II of this report outlines the health disparities data collection and describes community </w:t>
      </w:r>
      <w:r w:rsidR="00C7610E">
        <w:t>grantee</w:t>
      </w:r>
      <w:r>
        <w:t xml:space="preserve"> experiences with this aspect of the project. The COVID-19 pandemic </w:t>
      </w:r>
      <w:r w:rsidR="00C5075A">
        <w:t xml:space="preserve">and subsequent statewide closures </w:t>
      </w:r>
      <w:r>
        <w:t xml:space="preserve">also occurred during this extension period. The impacts of this are documented in Section III of this report. </w:t>
      </w:r>
      <w:r w:rsidR="00B4238C">
        <w:t>Section IV discusses updates on goal 5 (coalition sector representation), and Section V provides concluding remarks.</w:t>
      </w:r>
    </w:p>
    <w:p w14:paraId="007C20A6" w14:textId="77777777" w:rsidR="002C27D8" w:rsidRDefault="002C27D8" w:rsidP="002C27D8">
      <w:pPr>
        <w:spacing w:after="0" w:line="240" w:lineRule="auto"/>
      </w:pPr>
    </w:p>
    <w:p w14:paraId="7A52518B" w14:textId="430F2C92" w:rsidR="00AE5EAA" w:rsidRDefault="00AE5EAA">
      <w:pPr>
        <w:spacing w:line="259" w:lineRule="auto"/>
      </w:pPr>
      <w:r>
        <w:br w:type="page"/>
      </w:r>
    </w:p>
    <w:p w14:paraId="6DF53124" w14:textId="7630C167" w:rsidR="002C27D8" w:rsidRDefault="002C27D8" w:rsidP="002C27D8">
      <w:pPr>
        <w:pStyle w:val="Heading1"/>
      </w:pPr>
      <w:bookmarkStart w:id="2" w:name="_Toc45026640"/>
      <w:r>
        <w:lastRenderedPageBreak/>
        <w:t>Section I. Illinois Youth Survey 2020 Updates</w:t>
      </w:r>
      <w:bookmarkEnd w:id="2"/>
    </w:p>
    <w:p w14:paraId="7BFF9817" w14:textId="3A2E5DA6" w:rsidR="001A4C45" w:rsidRDefault="001A4C45" w:rsidP="00AE5EAA">
      <w:pPr>
        <w:spacing w:after="0" w:line="240" w:lineRule="auto"/>
      </w:pPr>
      <w:r>
        <w:t xml:space="preserve">The Illinois Youth Survey </w:t>
      </w:r>
      <w:r w:rsidR="00C5075A">
        <w:t xml:space="preserve">(IYS) </w:t>
      </w:r>
      <w:r>
        <w:t xml:space="preserve">school registration began in the fall of 2019. </w:t>
      </w:r>
      <w:r w:rsidR="00BF6BE3">
        <w:t xml:space="preserve">Four grantees continued recruitment, registration and survey administration during the extension. </w:t>
      </w:r>
      <w:r w:rsidR="007C2987">
        <w:t>Three</w:t>
      </w:r>
      <w:r>
        <w:t xml:space="preserve"> </w:t>
      </w:r>
      <w:r w:rsidR="00C5075A">
        <w:t xml:space="preserve">of the four </w:t>
      </w:r>
      <w:r>
        <w:t xml:space="preserve">communities who continued their funding during the extension period had recruited 100% of their schools prior to </w:t>
      </w:r>
      <w:r w:rsidR="00BF6BE3">
        <w:t>October 1, 2019</w:t>
      </w:r>
      <w:r>
        <w:t>. The I</w:t>
      </w:r>
      <w:r w:rsidR="00C5075A">
        <w:t xml:space="preserve">YS administration </w:t>
      </w:r>
      <w:r w:rsidR="004F7213">
        <w:t xml:space="preserve">began on January 6, 2020 and </w:t>
      </w:r>
      <w:r>
        <w:t xml:space="preserve">was closed on March 16, 2020 due to the COVID-19 pandemic and subsequent closure of </w:t>
      </w:r>
      <w:r w:rsidR="00C5075A">
        <w:t xml:space="preserve">all </w:t>
      </w:r>
      <w:r>
        <w:t xml:space="preserve">schools in Illinois (for more information, see Section III). </w:t>
      </w:r>
      <w:r w:rsidR="007C2987">
        <w:t xml:space="preserve">A brief summary of the </w:t>
      </w:r>
      <w:r w:rsidR="000C1F72">
        <w:t xml:space="preserve">2020 </w:t>
      </w:r>
      <w:r w:rsidR="007C2987">
        <w:t xml:space="preserve">participation </w:t>
      </w:r>
      <w:r w:rsidR="000C1F72">
        <w:t xml:space="preserve">by site </w:t>
      </w:r>
      <w:r w:rsidR="007C2987">
        <w:t>is below</w:t>
      </w:r>
      <w:r w:rsidR="00ED591B">
        <w:t xml:space="preserve"> and </w:t>
      </w:r>
      <w:r w:rsidR="000C1F72">
        <w:t xml:space="preserve">an overall summary is presented in </w:t>
      </w:r>
      <w:r w:rsidR="00ED591B">
        <w:t>table 1.1</w:t>
      </w:r>
      <w:r w:rsidR="007C2987">
        <w:t>:</w:t>
      </w:r>
    </w:p>
    <w:p w14:paraId="108F2BDB" w14:textId="03613B58" w:rsidR="007C2987" w:rsidRDefault="007C2987" w:rsidP="007C2987">
      <w:pPr>
        <w:pStyle w:val="ListParagraph"/>
        <w:numPr>
          <w:ilvl w:val="0"/>
          <w:numId w:val="8"/>
        </w:numPr>
        <w:spacing w:after="0" w:line="240" w:lineRule="auto"/>
      </w:pPr>
      <w:r>
        <w:t xml:space="preserve">Freeport Health Network’s </w:t>
      </w:r>
      <w:r w:rsidR="00C5075A">
        <w:t xml:space="preserve">(FHN’s) </w:t>
      </w:r>
      <w:r>
        <w:t xml:space="preserve">list of targeted schools was 11 and 2 of those schools did not participate in 2020. </w:t>
      </w:r>
      <w:r w:rsidR="00A67120">
        <w:t>Unfortunately, b</w:t>
      </w:r>
      <w:r>
        <w:t xml:space="preserve">oth </w:t>
      </w:r>
      <w:bookmarkStart w:id="3" w:name="_Hlk43303395"/>
      <w:r>
        <w:t xml:space="preserve">had registered to </w:t>
      </w:r>
      <w:r w:rsidR="00A67120">
        <w:t xml:space="preserve">complete the </w:t>
      </w:r>
      <w:r>
        <w:t xml:space="preserve">survey </w:t>
      </w:r>
      <w:r w:rsidR="00A67120">
        <w:t xml:space="preserve">on a date </w:t>
      </w:r>
      <w:r>
        <w:t xml:space="preserve">after </w:t>
      </w:r>
      <w:r w:rsidR="00C5075A">
        <w:t xml:space="preserve">the survey </w:t>
      </w:r>
      <w:r>
        <w:t>closed</w:t>
      </w:r>
      <w:r w:rsidR="00A67120">
        <w:t xml:space="preserve"> on March 16</w:t>
      </w:r>
      <w:r>
        <w:t xml:space="preserve">. </w:t>
      </w:r>
    </w:p>
    <w:bookmarkEnd w:id="3"/>
    <w:p w14:paraId="2FB540E8" w14:textId="4B670B22" w:rsidR="007C2987" w:rsidRDefault="007C2987" w:rsidP="007C2987">
      <w:pPr>
        <w:pStyle w:val="ListParagraph"/>
        <w:numPr>
          <w:ilvl w:val="0"/>
          <w:numId w:val="8"/>
        </w:numPr>
        <w:spacing w:after="0" w:line="240" w:lineRule="auto"/>
      </w:pPr>
      <w:r>
        <w:t xml:space="preserve">Iroquois-Kankakee Regional Office of Education’s </w:t>
      </w:r>
      <w:r w:rsidR="00C5075A">
        <w:t xml:space="preserve">(IKAN’s) </w:t>
      </w:r>
      <w:r>
        <w:t>list of targeted schools was 12 and only one school did not participate. The school was registered to survey on March 9</w:t>
      </w:r>
      <w:r w:rsidRPr="007C2987">
        <w:rPr>
          <w:vertAlign w:val="superscript"/>
        </w:rPr>
        <w:t>th</w:t>
      </w:r>
      <w:r>
        <w:t xml:space="preserve"> but missed their survey date and did not have time to reschedule.</w:t>
      </w:r>
    </w:p>
    <w:p w14:paraId="54801A6D" w14:textId="77777777" w:rsidR="00A67120" w:rsidRPr="00A67120" w:rsidRDefault="007C2987" w:rsidP="00A67120">
      <w:pPr>
        <w:pStyle w:val="ListParagraph"/>
        <w:numPr>
          <w:ilvl w:val="0"/>
          <w:numId w:val="8"/>
        </w:numPr>
      </w:pPr>
      <w:r>
        <w:t xml:space="preserve">Kenneth Young Center’s </w:t>
      </w:r>
      <w:r w:rsidR="00C5075A">
        <w:t xml:space="preserve">(KYC’s) </w:t>
      </w:r>
      <w:r>
        <w:t xml:space="preserve">list of targeted schools was 14 and 6 of those schools did not participate in 2020. One school was registered to survey in February but missed their survey date and did not have time to reschedule. </w:t>
      </w:r>
      <w:r w:rsidR="00A67120">
        <w:t>Unfortunately, t</w:t>
      </w:r>
      <w:r>
        <w:t xml:space="preserve">he other 5 </w:t>
      </w:r>
      <w:bookmarkStart w:id="4" w:name="_Hlk43303408"/>
      <w:r w:rsidR="00A67120" w:rsidRPr="00A67120">
        <w:t xml:space="preserve">had registered to complete the survey on a date after the survey closed on March 16. </w:t>
      </w:r>
    </w:p>
    <w:bookmarkEnd w:id="4"/>
    <w:p w14:paraId="7CF8811B" w14:textId="4A549B47" w:rsidR="00A67120" w:rsidRDefault="007C2987" w:rsidP="00A67120">
      <w:pPr>
        <w:pStyle w:val="ListParagraph"/>
        <w:numPr>
          <w:ilvl w:val="0"/>
          <w:numId w:val="8"/>
        </w:numPr>
      </w:pPr>
      <w:r>
        <w:t xml:space="preserve">Oak Park Township’s </w:t>
      </w:r>
      <w:r w:rsidR="00C5075A">
        <w:t xml:space="preserve">(Oak Park’s) </w:t>
      </w:r>
      <w:r>
        <w:t>list of targeted schools was 6 and 3 of those schools did not participate in 2020. Two schools did not register</w:t>
      </w:r>
      <w:r w:rsidR="00A67120">
        <w:t xml:space="preserve"> before March 16</w:t>
      </w:r>
      <w:r>
        <w:t xml:space="preserve"> and the third </w:t>
      </w:r>
      <w:r w:rsidR="00A67120" w:rsidRPr="00A67120">
        <w:t xml:space="preserve">had registered to complete the survey on a date after the survey closed on March 16. </w:t>
      </w:r>
    </w:p>
    <w:p w14:paraId="3E42FAE6" w14:textId="77777777" w:rsidR="00422835" w:rsidRDefault="00422835" w:rsidP="00C90FD0">
      <w:pPr>
        <w:pStyle w:val="ListParagraph"/>
        <w:spacing w:after="0" w:line="240" w:lineRule="auto"/>
        <w:jc w:val="center"/>
      </w:pPr>
    </w:p>
    <w:p w14:paraId="60849FC6" w14:textId="2CF4969E" w:rsidR="00ED591B" w:rsidRPr="00A67120" w:rsidRDefault="00ED591B" w:rsidP="00422835">
      <w:pPr>
        <w:pStyle w:val="ListParagraph"/>
        <w:spacing w:line="240" w:lineRule="auto"/>
        <w:ind w:left="0"/>
        <w:jc w:val="center"/>
        <w:rPr>
          <w:rFonts w:ascii="Calibri" w:hAnsi="Calibri"/>
          <w:b/>
          <w:color w:val="FF0000"/>
          <w:sz w:val="24"/>
          <w:szCs w:val="24"/>
        </w:rPr>
      </w:pPr>
      <w:r w:rsidRPr="00A67120">
        <w:rPr>
          <w:rFonts w:ascii="Calibri" w:hAnsi="Calibri"/>
          <w:b/>
          <w:color w:val="000000"/>
          <w:sz w:val="24"/>
          <w:szCs w:val="24"/>
        </w:rPr>
        <w:t>TABLE 1.1</w:t>
      </w:r>
    </w:p>
    <w:p w14:paraId="5AF24AA4" w14:textId="232ED775" w:rsidR="00ED591B" w:rsidRPr="00824CBD" w:rsidRDefault="00ED591B" w:rsidP="00ED591B">
      <w:pPr>
        <w:spacing w:line="240" w:lineRule="auto"/>
        <w:jc w:val="center"/>
        <w:rPr>
          <w:rFonts w:ascii="Calibri" w:hAnsi="Calibri"/>
          <w:b/>
          <w:color w:val="FF0000"/>
          <w:sz w:val="24"/>
          <w:szCs w:val="24"/>
        </w:rPr>
      </w:pPr>
      <w:r w:rsidRPr="0086579B">
        <w:rPr>
          <w:rFonts w:ascii="Calibri" w:hAnsi="Calibri"/>
          <w:b/>
          <w:color w:val="000000"/>
          <w:sz w:val="24"/>
          <w:szCs w:val="24"/>
        </w:rPr>
        <w:t xml:space="preserve">IYS </w:t>
      </w:r>
      <w:r>
        <w:rPr>
          <w:rFonts w:ascii="Calibri" w:hAnsi="Calibri"/>
          <w:b/>
          <w:color w:val="000000"/>
          <w:sz w:val="24"/>
          <w:szCs w:val="24"/>
        </w:rPr>
        <w:t>SCHOOL PARTICIPATION</w:t>
      </w:r>
      <w:r w:rsidRPr="0086579B">
        <w:rPr>
          <w:rFonts w:ascii="Calibri" w:hAnsi="Calibri"/>
          <w:b/>
          <w:color w:val="000000"/>
          <w:sz w:val="24"/>
          <w:szCs w:val="24"/>
        </w:rPr>
        <w:t xml:space="preserve"> RATES BY COMMUNITY</w:t>
      </w:r>
      <w:r>
        <w:rPr>
          <w:rFonts w:ascii="Calibri" w:hAnsi="Calibri"/>
          <w:b/>
          <w:color w:val="000000"/>
          <w:sz w:val="24"/>
          <w:szCs w:val="24"/>
        </w:rPr>
        <w:t xml:space="preserve"> IN </w:t>
      </w:r>
      <w:r w:rsidRPr="0086579B">
        <w:rPr>
          <w:rFonts w:ascii="Calibri" w:hAnsi="Calibri"/>
          <w:b/>
          <w:color w:val="000000"/>
          <w:sz w:val="24"/>
          <w:szCs w:val="24"/>
        </w:rPr>
        <w:t>2</w:t>
      </w:r>
      <w:r w:rsidRPr="00704730">
        <w:rPr>
          <w:rFonts w:ascii="Calibri" w:hAnsi="Calibri"/>
          <w:b/>
          <w:sz w:val="24"/>
          <w:szCs w:val="24"/>
        </w:rPr>
        <w:t>020</w:t>
      </w:r>
    </w:p>
    <w:tbl>
      <w:tblPr>
        <w:tblStyle w:val="TableGrid"/>
        <w:tblW w:w="0" w:type="auto"/>
        <w:jc w:val="center"/>
        <w:tblInd w:w="0" w:type="dxa"/>
        <w:tblLook w:val="04A0" w:firstRow="1" w:lastRow="0" w:firstColumn="1" w:lastColumn="0" w:noHBand="0" w:noVBand="1"/>
      </w:tblPr>
      <w:tblGrid>
        <w:gridCol w:w="1705"/>
        <w:gridCol w:w="2969"/>
        <w:gridCol w:w="1171"/>
        <w:gridCol w:w="1620"/>
        <w:gridCol w:w="1620"/>
      </w:tblGrid>
      <w:tr w:rsidR="007C2987" w14:paraId="3ACBC337" w14:textId="1273FE72" w:rsidTr="00C5075A">
        <w:trPr>
          <w:jc w:val="center"/>
        </w:trPr>
        <w:tc>
          <w:tcPr>
            <w:tcW w:w="1705" w:type="dxa"/>
            <w:vAlign w:val="center"/>
          </w:tcPr>
          <w:p w14:paraId="13A545C3" w14:textId="28D1DB6F" w:rsidR="007C2987" w:rsidRPr="007C2987" w:rsidRDefault="007C2987" w:rsidP="007C2987">
            <w:pPr>
              <w:spacing w:line="240" w:lineRule="auto"/>
              <w:jc w:val="center"/>
              <w:rPr>
                <w:b/>
                <w:bCs/>
              </w:rPr>
            </w:pPr>
            <w:r>
              <w:rPr>
                <w:b/>
                <w:bCs/>
              </w:rPr>
              <w:t>Grantee</w:t>
            </w:r>
          </w:p>
        </w:tc>
        <w:tc>
          <w:tcPr>
            <w:tcW w:w="2969" w:type="dxa"/>
            <w:vAlign w:val="center"/>
          </w:tcPr>
          <w:p w14:paraId="467213DE" w14:textId="02C21B80" w:rsidR="007C2987" w:rsidRPr="007C2987" w:rsidRDefault="007C2987" w:rsidP="007C2987">
            <w:pPr>
              <w:spacing w:line="240" w:lineRule="auto"/>
              <w:jc w:val="center"/>
              <w:rPr>
                <w:b/>
                <w:bCs/>
              </w:rPr>
            </w:pPr>
            <w:r w:rsidRPr="007C2987">
              <w:rPr>
                <w:b/>
                <w:bCs/>
              </w:rPr>
              <w:t>Total Schools in Target Area</w:t>
            </w:r>
          </w:p>
        </w:tc>
        <w:tc>
          <w:tcPr>
            <w:tcW w:w="1171" w:type="dxa"/>
            <w:vAlign w:val="center"/>
          </w:tcPr>
          <w:p w14:paraId="2171172C" w14:textId="5FD0F551" w:rsidR="007C2987" w:rsidRPr="007C2987" w:rsidRDefault="007C2987" w:rsidP="007C2987">
            <w:pPr>
              <w:spacing w:line="240" w:lineRule="auto"/>
              <w:jc w:val="center"/>
              <w:rPr>
                <w:b/>
                <w:bCs/>
              </w:rPr>
            </w:pPr>
            <w:r w:rsidRPr="007C2987">
              <w:rPr>
                <w:b/>
                <w:bCs/>
              </w:rPr>
              <w:t>Surveyed</w:t>
            </w:r>
          </w:p>
        </w:tc>
        <w:tc>
          <w:tcPr>
            <w:tcW w:w="1620" w:type="dxa"/>
            <w:vAlign w:val="center"/>
          </w:tcPr>
          <w:p w14:paraId="0A92BF91" w14:textId="4CBCF57E" w:rsidR="007C2987" w:rsidRPr="007C2987" w:rsidRDefault="00A67120" w:rsidP="007C2987">
            <w:pPr>
              <w:spacing w:line="240" w:lineRule="auto"/>
              <w:jc w:val="center"/>
              <w:rPr>
                <w:b/>
                <w:bCs/>
              </w:rPr>
            </w:pPr>
            <w:r>
              <w:rPr>
                <w:b/>
                <w:bCs/>
              </w:rPr>
              <w:t>Unable to</w:t>
            </w:r>
            <w:r w:rsidR="007C2987" w:rsidRPr="007C2987">
              <w:rPr>
                <w:b/>
                <w:bCs/>
              </w:rPr>
              <w:t xml:space="preserve"> Survey</w:t>
            </w:r>
          </w:p>
        </w:tc>
        <w:tc>
          <w:tcPr>
            <w:tcW w:w="1620" w:type="dxa"/>
          </w:tcPr>
          <w:p w14:paraId="06F50DFF" w14:textId="120C36E4" w:rsidR="007C2987" w:rsidRPr="007C2987" w:rsidRDefault="007C2987" w:rsidP="007C2987">
            <w:pPr>
              <w:spacing w:line="240" w:lineRule="auto"/>
              <w:jc w:val="center"/>
              <w:rPr>
                <w:b/>
                <w:bCs/>
              </w:rPr>
            </w:pPr>
            <w:r>
              <w:rPr>
                <w:b/>
                <w:bCs/>
              </w:rPr>
              <w:t>Percent that Participated</w:t>
            </w:r>
          </w:p>
        </w:tc>
      </w:tr>
      <w:tr w:rsidR="007C2987" w14:paraId="6EDA9D82" w14:textId="0226940E" w:rsidTr="00C5075A">
        <w:trPr>
          <w:jc w:val="center"/>
        </w:trPr>
        <w:tc>
          <w:tcPr>
            <w:tcW w:w="1705" w:type="dxa"/>
            <w:vAlign w:val="center"/>
          </w:tcPr>
          <w:p w14:paraId="360CEEE5" w14:textId="63715F3C" w:rsidR="007C2987" w:rsidRDefault="007C2987" w:rsidP="007C2987">
            <w:pPr>
              <w:spacing w:line="240" w:lineRule="auto"/>
            </w:pPr>
            <w:r>
              <w:t>FHN</w:t>
            </w:r>
          </w:p>
        </w:tc>
        <w:tc>
          <w:tcPr>
            <w:tcW w:w="2969" w:type="dxa"/>
            <w:vAlign w:val="center"/>
          </w:tcPr>
          <w:p w14:paraId="29359FD5" w14:textId="400A1443" w:rsidR="007C2987" w:rsidRDefault="007C2987" w:rsidP="007C2987">
            <w:pPr>
              <w:spacing w:line="240" w:lineRule="auto"/>
              <w:jc w:val="center"/>
            </w:pPr>
            <w:r>
              <w:t>11</w:t>
            </w:r>
          </w:p>
        </w:tc>
        <w:tc>
          <w:tcPr>
            <w:tcW w:w="1171" w:type="dxa"/>
            <w:vAlign w:val="center"/>
          </w:tcPr>
          <w:p w14:paraId="094183A7" w14:textId="5DB83032" w:rsidR="007C2987" w:rsidRDefault="007C2987" w:rsidP="007C2987">
            <w:pPr>
              <w:spacing w:line="240" w:lineRule="auto"/>
              <w:jc w:val="center"/>
            </w:pPr>
            <w:r>
              <w:t>9</w:t>
            </w:r>
          </w:p>
        </w:tc>
        <w:tc>
          <w:tcPr>
            <w:tcW w:w="1620" w:type="dxa"/>
            <w:vAlign w:val="center"/>
          </w:tcPr>
          <w:p w14:paraId="316445E8" w14:textId="7E1DD08B" w:rsidR="007C2987" w:rsidRDefault="007C2987" w:rsidP="007C2987">
            <w:pPr>
              <w:spacing w:line="240" w:lineRule="auto"/>
              <w:jc w:val="center"/>
            </w:pPr>
            <w:r>
              <w:t>2</w:t>
            </w:r>
          </w:p>
        </w:tc>
        <w:tc>
          <w:tcPr>
            <w:tcW w:w="1620" w:type="dxa"/>
          </w:tcPr>
          <w:p w14:paraId="1D0A9B34" w14:textId="15F54B47" w:rsidR="007C2987" w:rsidRDefault="007C2987" w:rsidP="007C2987">
            <w:pPr>
              <w:spacing w:line="240" w:lineRule="auto"/>
              <w:jc w:val="center"/>
            </w:pPr>
            <w:r>
              <w:t>82%</w:t>
            </w:r>
          </w:p>
        </w:tc>
      </w:tr>
      <w:tr w:rsidR="007C2987" w14:paraId="09E9BDE6" w14:textId="3AF0E39F" w:rsidTr="00C5075A">
        <w:trPr>
          <w:jc w:val="center"/>
        </w:trPr>
        <w:tc>
          <w:tcPr>
            <w:tcW w:w="1705" w:type="dxa"/>
            <w:vAlign w:val="center"/>
          </w:tcPr>
          <w:p w14:paraId="53D98853" w14:textId="3BFF13E1" w:rsidR="007C2987" w:rsidRDefault="007C2987" w:rsidP="007C2987">
            <w:pPr>
              <w:spacing w:line="240" w:lineRule="auto"/>
            </w:pPr>
            <w:r>
              <w:t>IKAN</w:t>
            </w:r>
          </w:p>
        </w:tc>
        <w:tc>
          <w:tcPr>
            <w:tcW w:w="2969" w:type="dxa"/>
            <w:vAlign w:val="center"/>
          </w:tcPr>
          <w:p w14:paraId="5B4FBAFB" w14:textId="0DB01E90" w:rsidR="007C2987" w:rsidRDefault="007C2987" w:rsidP="007C2987">
            <w:pPr>
              <w:spacing w:line="240" w:lineRule="auto"/>
              <w:jc w:val="center"/>
            </w:pPr>
            <w:r>
              <w:t>12</w:t>
            </w:r>
          </w:p>
        </w:tc>
        <w:tc>
          <w:tcPr>
            <w:tcW w:w="1171" w:type="dxa"/>
            <w:vAlign w:val="center"/>
          </w:tcPr>
          <w:p w14:paraId="1CC51F6E" w14:textId="380BC839" w:rsidR="007C2987" w:rsidRDefault="007C2987" w:rsidP="007C2987">
            <w:pPr>
              <w:spacing w:line="240" w:lineRule="auto"/>
              <w:jc w:val="center"/>
            </w:pPr>
            <w:r>
              <w:t>11</w:t>
            </w:r>
          </w:p>
        </w:tc>
        <w:tc>
          <w:tcPr>
            <w:tcW w:w="1620" w:type="dxa"/>
            <w:vAlign w:val="center"/>
          </w:tcPr>
          <w:p w14:paraId="5153762F" w14:textId="370D08CD" w:rsidR="007C2987" w:rsidRDefault="007C2987" w:rsidP="007C2987">
            <w:pPr>
              <w:spacing w:line="240" w:lineRule="auto"/>
              <w:jc w:val="center"/>
            </w:pPr>
            <w:r>
              <w:t>1</w:t>
            </w:r>
          </w:p>
        </w:tc>
        <w:tc>
          <w:tcPr>
            <w:tcW w:w="1620" w:type="dxa"/>
          </w:tcPr>
          <w:p w14:paraId="4659316A" w14:textId="75C44245" w:rsidR="007C2987" w:rsidRDefault="007C2987" w:rsidP="007C2987">
            <w:pPr>
              <w:spacing w:line="240" w:lineRule="auto"/>
              <w:jc w:val="center"/>
            </w:pPr>
            <w:r>
              <w:t>92%</w:t>
            </w:r>
          </w:p>
        </w:tc>
      </w:tr>
      <w:tr w:rsidR="007C2987" w14:paraId="2831BCE8" w14:textId="66C98380" w:rsidTr="00C5075A">
        <w:trPr>
          <w:jc w:val="center"/>
        </w:trPr>
        <w:tc>
          <w:tcPr>
            <w:tcW w:w="1705" w:type="dxa"/>
            <w:vAlign w:val="center"/>
          </w:tcPr>
          <w:p w14:paraId="6726C558" w14:textId="24B140DD" w:rsidR="007C2987" w:rsidRDefault="007C2987" w:rsidP="007C2987">
            <w:pPr>
              <w:spacing w:line="240" w:lineRule="auto"/>
            </w:pPr>
            <w:r>
              <w:t>KYC</w:t>
            </w:r>
          </w:p>
        </w:tc>
        <w:tc>
          <w:tcPr>
            <w:tcW w:w="2969" w:type="dxa"/>
            <w:vAlign w:val="center"/>
          </w:tcPr>
          <w:p w14:paraId="556DA1ED" w14:textId="3F12313B" w:rsidR="007C2987" w:rsidRDefault="007C2987" w:rsidP="007C2987">
            <w:pPr>
              <w:spacing w:line="240" w:lineRule="auto"/>
              <w:jc w:val="center"/>
            </w:pPr>
            <w:r>
              <w:t>14</w:t>
            </w:r>
          </w:p>
        </w:tc>
        <w:tc>
          <w:tcPr>
            <w:tcW w:w="1171" w:type="dxa"/>
            <w:vAlign w:val="center"/>
          </w:tcPr>
          <w:p w14:paraId="69E9DC95" w14:textId="37F78132" w:rsidR="007C2987" w:rsidRDefault="007C2987" w:rsidP="007C2987">
            <w:pPr>
              <w:spacing w:line="240" w:lineRule="auto"/>
              <w:jc w:val="center"/>
            </w:pPr>
            <w:r>
              <w:t>8</w:t>
            </w:r>
          </w:p>
        </w:tc>
        <w:tc>
          <w:tcPr>
            <w:tcW w:w="1620" w:type="dxa"/>
            <w:vAlign w:val="center"/>
          </w:tcPr>
          <w:p w14:paraId="4BC03804" w14:textId="2D24300F" w:rsidR="007C2987" w:rsidRDefault="007C2987" w:rsidP="007C2987">
            <w:pPr>
              <w:spacing w:line="240" w:lineRule="auto"/>
              <w:jc w:val="center"/>
            </w:pPr>
            <w:r>
              <w:t>6</w:t>
            </w:r>
          </w:p>
        </w:tc>
        <w:tc>
          <w:tcPr>
            <w:tcW w:w="1620" w:type="dxa"/>
          </w:tcPr>
          <w:p w14:paraId="5BC6B717" w14:textId="701B6FB5" w:rsidR="007C2987" w:rsidRDefault="007C2987" w:rsidP="007C2987">
            <w:pPr>
              <w:spacing w:line="240" w:lineRule="auto"/>
              <w:jc w:val="center"/>
            </w:pPr>
            <w:r>
              <w:t>57%</w:t>
            </w:r>
          </w:p>
        </w:tc>
      </w:tr>
      <w:tr w:rsidR="007C2987" w14:paraId="61C2C504" w14:textId="716AD547" w:rsidTr="00C5075A">
        <w:trPr>
          <w:jc w:val="center"/>
        </w:trPr>
        <w:tc>
          <w:tcPr>
            <w:tcW w:w="1705" w:type="dxa"/>
            <w:vAlign w:val="center"/>
          </w:tcPr>
          <w:p w14:paraId="10080F68" w14:textId="41E8088E" w:rsidR="007C2987" w:rsidRDefault="007C2987" w:rsidP="007C2987">
            <w:pPr>
              <w:spacing w:line="240" w:lineRule="auto"/>
            </w:pPr>
            <w:r>
              <w:t>Oak Park</w:t>
            </w:r>
          </w:p>
        </w:tc>
        <w:tc>
          <w:tcPr>
            <w:tcW w:w="2969" w:type="dxa"/>
            <w:vAlign w:val="center"/>
          </w:tcPr>
          <w:p w14:paraId="2043B4EB" w14:textId="15DBEF98" w:rsidR="007C2987" w:rsidRDefault="007C2987" w:rsidP="007C2987">
            <w:pPr>
              <w:spacing w:line="240" w:lineRule="auto"/>
              <w:jc w:val="center"/>
            </w:pPr>
            <w:r>
              <w:t>6</w:t>
            </w:r>
          </w:p>
        </w:tc>
        <w:tc>
          <w:tcPr>
            <w:tcW w:w="1171" w:type="dxa"/>
            <w:vAlign w:val="center"/>
          </w:tcPr>
          <w:p w14:paraId="60804E52" w14:textId="1A1CF8CE" w:rsidR="007C2987" w:rsidRDefault="007C2987" w:rsidP="007C2987">
            <w:pPr>
              <w:spacing w:line="240" w:lineRule="auto"/>
              <w:jc w:val="center"/>
            </w:pPr>
            <w:r>
              <w:t>3</w:t>
            </w:r>
          </w:p>
        </w:tc>
        <w:tc>
          <w:tcPr>
            <w:tcW w:w="1620" w:type="dxa"/>
            <w:vAlign w:val="center"/>
          </w:tcPr>
          <w:p w14:paraId="35498D69" w14:textId="6481BA32" w:rsidR="007C2987" w:rsidRDefault="007C2987" w:rsidP="007C2987">
            <w:pPr>
              <w:spacing w:line="240" w:lineRule="auto"/>
              <w:jc w:val="center"/>
            </w:pPr>
            <w:r>
              <w:t>3</w:t>
            </w:r>
          </w:p>
        </w:tc>
        <w:tc>
          <w:tcPr>
            <w:tcW w:w="1620" w:type="dxa"/>
          </w:tcPr>
          <w:p w14:paraId="2A850286" w14:textId="02794222" w:rsidR="007C2987" w:rsidRDefault="007C2987" w:rsidP="007C2987">
            <w:pPr>
              <w:spacing w:line="240" w:lineRule="auto"/>
              <w:jc w:val="center"/>
            </w:pPr>
            <w:r>
              <w:t>50%</w:t>
            </w:r>
          </w:p>
        </w:tc>
      </w:tr>
      <w:tr w:rsidR="007C2987" w:rsidRPr="00ED591B" w14:paraId="6FA625DC" w14:textId="4BBEA0BA" w:rsidTr="00C5075A">
        <w:trPr>
          <w:jc w:val="center"/>
        </w:trPr>
        <w:tc>
          <w:tcPr>
            <w:tcW w:w="1705" w:type="dxa"/>
            <w:vAlign w:val="center"/>
          </w:tcPr>
          <w:p w14:paraId="15926F61" w14:textId="7C97DB22" w:rsidR="007C2987" w:rsidRPr="00ED591B" w:rsidRDefault="007C2987" w:rsidP="00ED591B">
            <w:pPr>
              <w:spacing w:line="240" w:lineRule="auto"/>
              <w:jc w:val="center"/>
              <w:rPr>
                <w:b/>
                <w:bCs/>
              </w:rPr>
            </w:pPr>
            <w:r w:rsidRPr="00ED591B">
              <w:rPr>
                <w:b/>
                <w:bCs/>
              </w:rPr>
              <w:t>Total</w:t>
            </w:r>
          </w:p>
        </w:tc>
        <w:tc>
          <w:tcPr>
            <w:tcW w:w="2969" w:type="dxa"/>
            <w:vAlign w:val="center"/>
          </w:tcPr>
          <w:p w14:paraId="2DC79CE7" w14:textId="49526C16" w:rsidR="007C2987" w:rsidRPr="00ED591B" w:rsidRDefault="007C2987" w:rsidP="007C2987">
            <w:pPr>
              <w:spacing w:line="240" w:lineRule="auto"/>
              <w:jc w:val="center"/>
              <w:rPr>
                <w:b/>
                <w:bCs/>
              </w:rPr>
            </w:pPr>
            <w:r w:rsidRPr="00ED591B">
              <w:rPr>
                <w:b/>
                <w:bCs/>
              </w:rPr>
              <w:t>43</w:t>
            </w:r>
          </w:p>
        </w:tc>
        <w:tc>
          <w:tcPr>
            <w:tcW w:w="1171" w:type="dxa"/>
            <w:vAlign w:val="center"/>
          </w:tcPr>
          <w:p w14:paraId="5DDB1A64" w14:textId="565C50AC" w:rsidR="007C2987" w:rsidRPr="00ED591B" w:rsidRDefault="007C2987" w:rsidP="007C2987">
            <w:pPr>
              <w:spacing w:line="240" w:lineRule="auto"/>
              <w:jc w:val="center"/>
              <w:rPr>
                <w:b/>
                <w:bCs/>
              </w:rPr>
            </w:pPr>
            <w:r w:rsidRPr="00ED591B">
              <w:rPr>
                <w:b/>
                <w:bCs/>
              </w:rPr>
              <w:t>31</w:t>
            </w:r>
          </w:p>
        </w:tc>
        <w:tc>
          <w:tcPr>
            <w:tcW w:w="1620" w:type="dxa"/>
            <w:vAlign w:val="center"/>
          </w:tcPr>
          <w:p w14:paraId="39904B51" w14:textId="5C12934D" w:rsidR="007C2987" w:rsidRPr="00ED591B" w:rsidRDefault="007C2987" w:rsidP="007C2987">
            <w:pPr>
              <w:spacing w:line="240" w:lineRule="auto"/>
              <w:jc w:val="center"/>
              <w:rPr>
                <w:b/>
                <w:bCs/>
              </w:rPr>
            </w:pPr>
            <w:r w:rsidRPr="00ED591B">
              <w:rPr>
                <w:b/>
                <w:bCs/>
              </w:rPr>
              <w:t>12</w:t>
            </w:r>
          </w:p>
        </w:tc>
        <w:tc>
          <w:tcPr>
            <w:tcW w:w="1620" w:type="dxa"/>
          </w:tcPr>
          <w:p w14:paraId="6B28D570" w14:textId="0BBB328C" w:rsidR="007C2987" w:rsidRPr="00ED591B" w:rsidRDefault="007C2987" w:rsidP="007C2987">
            <w:pPr>
              <w:spacing w:line="240" w:lineRule="auto"/>
              <w:jc w:val="center"/>
              <w:rPr>
                <w:b/>
                <w:bCs/>
              </w:rPr>
            </w:pPr>
            <w:r w:rsidRPr="00ED591B">
              <w:rPr>
                <w:b/>
                <w:bCs/>
              </w:rPr>
              <w:t>72%</w:t>
            </w:r>
          </w:p>
        </w:tc>
      </w:tr>
    </w:tbl>
    <w:p w14:paraId="2EB424EE" w14:textId="4FF99CA5" w:rsidR="007C2987" w:rsidRDefault="007C2987" w:rsidP="00AE5EAA">
      <w:pPr>
        <w:spacing w:after="0" w:line="240" w:lineRule="auto"/>
      </w:pPr>
    </w:p>
    <w:p w14:paraId="35FB4C25" w14:textId="2D52BE8E" w:rsidR="007C2987" w:rsidRDefault="00ED591B" w:rsidP="00AE5EAA">
      <w:pPr>
        <w:spacing w:after="0" w:line="240" w:lineRule="auto"/>
      </w:pPr>
      <w:r>
        <w:t xml:space="preserve">The </w:t>
      </w:r>
      <w:r w:rsidR="000C1F72">
        <w:t xml:space="preserve">IYS </w:t>
      </w:r>
      <w:r w:rsidR="00C5075A">
        <w:t>student response rates listed in Table 1.2 below</w:t>
      </w:r>
      <w:r>
        <w:t xml:space="preserve"> illustrate the number of students that completed a valid IYS survey divided by the total number of students enrolled in each grade, across all of the schools in each targeted community area. A goal of 70% total representation was set for each grantee at the beginning of the grant</w:t>
      </w:r>
      <w:r w:rsidR="000C1F72">
        <w:t>, with 2014 being the baseline year. Not surprisingly and likely due to the closure of school</w:t>
      </w:r>
      <w:r w:rsidR="00BF6BE3">
        <w:t>s</w:t>
      </w:r>
      <w:r w:rsidR="000C1F72">
        <w:t xml:space="preserve"> less than halfway through survey administration, the 2020 IYS representation was worse than the 2018 representation for all 4 communities. The only exception was 10</w:t>
      </w:r>
      <w:r w:rsidR="000C1F72" w:rsidRPr="000C1F72">
        <w:rPr>
          <w:vertAlign w:val="superscript"/>
        </w:rPr>
        <w:t>th</w:t>
      </w:r>
      <w:r w:rsidR="000C1F72">
        <w:t xml:space="preserve"> grade </w:t>
      </w:r>
      <w:r w:rsidR="00BF6BE3">
        <w:t>in</w:t>
      </w:r>
      <w:r w:rsidR="000C1F72">
        <w:t xml:space="preserve"> Oak Park Township, which relies on one high school for the 10</w:t>
      </w:r>
      <w:r w:rsidR="000C1F72" w:rsidRPr="000C1F72">
        <w:rPr>
          <w:vertAlign w:val="superscript"/>
        </w:rPr>
        <w:t>th</w:t>
      </w:r>
      <w:r w:rsidR="000C1F72">
        <w:t xml:space="preserve"> and 12</w:t>
      </w:r>
      <w:r w:rsidR="000C1F72" w:rsidRPr="000C1F72">
        <w:rPr>
          <w:vertAlign w:val="superscript"/>
        </w:rPr>
        <w:t>th</w:t>
      </w:r>
      <w:r w:rsidR="000C1F72">
        <w:t xml:space="preserve"> grade student participation. However, given that </w:t>
      </w:r>
      <w:r w:rsidR="00BF6BE3">
        <w:t>the survey administration period</w:t>
      </w:r>
      <w:r w:rsidR="000C1F72">
        <w:t xml:space="preserve"> in 2020 was nearly 3 months shorter</w:t>
      </w:r>
      <w:r w:rsidR="00BF6BE3">
        <w:t xml:space="preserve"> than 2018</w:t>
      </w:r>
      <w:r w:rsidR="000C1F72">
        <w:t xml:space="preserve">, the rates of participation </w:t>
      </w:r>
      <w:r w:rsidR="00BF6BE3">
        <w:t>were surprisingly high</w:t>
      </w:r>
      <w:r w:rsidR="000C1F72">
        <w:t xml:space="preserve">. </w:t>
      </w:r>
      <w:proofErr w:type="gramStart"/>
      <w:r w:rsidR="000C1F72">
        <w:t>The majority of</w:t>
      </w:r>
      <w:proofErr w:type="gramEnd"/>
      <w:r w:rsidR="000C1F72">
        <w:t xml:space="preserve"> schools did get a chance to survey students prior to the closure and the number of schools that had 70% or greater actually increased for 10</w:t>
      </w:r>
      <w:r w:rsidR="000C1F72" w:rsidRPr="000C1F72">
        <w:rPr>
          <w:vertAlign w:val="superscript"/>
        </w:rPr>
        <w:t>th</w:t>
      </w:r>
      <w:r w:rsidR="000C1F72">
        <w:t xml:space="preserve"> and 12</w:t>
      </w:r>
      <w:r w:rsidR="000C1F72" w:rsidRPr="000C1F72">
        <w:rPr>
          <w:vertAlign w:val="superscript"/>
        </w:rPr>
        <w:t>th</w:t>
      </w:r>
      <w:r w:rsidR="000C1F72">
        <w:t xml:space="preserve"> grades. </w:t>
      </w:r>
    </w:p>
    <w:p w14:paraId="5AF92D8E" w14:textId="77777777" w:rsidR="00ED591B" w:rsidRDefault="00ED591B" w:rsidP="00AE5EAA">
      <w:pPr>
        <w:spacing w:after="0" w:line="240" w:lineRule="auto"/>
      </w:pPr>
    </w:p>
    <w:p w14:paraId="009DAD66" w14:textId="6C50DC3B" w:rsidR="00AE5EAA" w:rsidRPr="00824CBD" w:rsidRDefault="00AE5EAA" w:rsidP="00AE5EAA">
      <w:pPr>
        <w:spacing w:line="240" w:lineRule="auto"/>
        <w:jc w:val="center"/>
        <w:rPr>
          <w:rFonts w:ascii="Calibri" w:hAnsi="Calibri"/>
          <w:b/>
          <w:color w:val="FF0000"/>
          <w:sz w:val="24"/>
          <w:szCs w:val="24"/>
        </w:rPr>
      </w:pPr>
      <w:r>
        <w:rPr>
          <w:rFonts w:ascii="Calibri" w:hAnsi="Calibri"/>
          <w:b/>
          <w:color w:val="000000"/>
          <w:sz w:val="24"/>
          <w:szCs w:val="24"/>
        </w:rPr>
        <w:lastRenderedPageBreak/>
        <w:t xml:space="preserve">TABLE </w:t>
      </w:r>
      <w:r w:rsidR="00ED591B">
        <w:rPr>
          <w:rFonts w:ascii="Calibri" w:hAnsi="Calibri"/>
          <w:b/>
          <w:color w:val="000000"/>
          <w:sz w:val="24"/>
          <w:szCs w:val="24"/>
        </w:rPr>
        <w:t>1</w:t>
      </w:r>
      <w:r>
        <w:rPr>
          <w:rFonts w:ascii="Calibri" w:hAnsi="Calibri"/>
          <w:b/>
          <w:color w:val="000000"/>
          <w:sz w:val="24"/>
          <w:szCs w:val="24"/>
        </w:rPr>
        <w:t>.</w:t>
      </w:r>
      <w:r w:rsidR="00ED591B">
        <w:rPr>
          <w:rFonts w:ascii="Calibri" w:hAnsi="Calibri"/>
          <w:b/>
          <w:color w:val="000000"/>
          <w:sz w:val="24"/>
          <w:szCs w:val="24"/>
        </w:rPr>
        <w:t>2</w:t>
      </w:r>
    </w:p>
    <w:p w14:paraId="3C11D408" w14:textId="07BD06C4" w:rsidR="00AE5EAA" w:rsidRPr="00824CBD" w:rsidRDefault="00AE5EAA" w:rsidP="00AE5EAA">
      <w:pPr>
        <w:spacing w:line="240" w:lineRule="auto"/>
        <w:jc w:val="center"/>
        <w:rPr>
          <w:rFonts w:ascii="Calibri" w:hAnsi="Calibri"/>
          <w:b/>
          <w:color w:val="FF0000"/>
          <w:sz w:val="24"/>
          <w:szCs w:val="24"/>
        </w:rPr>
      </w:pPr>
      <w:r w:rsidRPr="0086579B">
        <w:rPr>
          <w:rFonts w:ascii="Calibri" w:hAnsi="Calibri"/>
          <w:b/>
          <w:color w:val="000000"/>
          <w:sz w:val="24"/>
          <w:szCs w:val="24"/>
        </w:rPr>
        <w:t>IYS STUDENT RESPONSE RATES BY COMMUNITY, GRADE AND YEAR, 2014-2</w:t>
      </w:r>
      <w:r w:rsidRPr="00704730">
        <w:rPr>
          <w:rFonts w:ascii="Calibri" w:hAnsi="Calibri"/>
          <w:b/>
          <w:sz w:val="24"/>
          <w:szCs w:val="24"/>
        </w:rPr>
        <w:t>0</w:t>
      </w:r>
      <w:r w:rsidR="00824CBD" w:rsidRPr="00704730">
        <w:rPr>
          <w:rFonts w:ascii="Calibri" w:hAnsi="Calibri"/>
          <w:b/>
          <w:sz w:val="24"/>
          <w:szCs w:val="24"/>
        </w:rPr>
        <w:t>20</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3"/>
        <w:gridCol w:w="674"/>
        <w:gridCol w:w="676"/>
        <w:gridCol w:w="677"/>
        <w:gridCol w:w="677"/>
        <w:gridCol w:w="677"/>
        <w:gridCol w:w="626"/>
        <w:gridCol w:w="728"/>
        <w:gridCol w:w="677"/>
        <w:gridCol w:w="665"/>
        <w:gridCol w:w="689"/>
        <w:gridCol w:w="677"/>
        <w:gridCol w:w="704"/>
      </w:tblGrid>
      <w:tr w:rsidR="00002560" w:rsidRPr="00090841" w14:paraId="2F3916F8" w14:textId="77777777" w:rsidTr="00BF6BE3">
        <w:trPr>
          <w:trHeight w:val="300"/>
          <w:jc w:val="center"/>
        </w:trPr>
        <w:tc>
          <w:tcPr>
            <w:tcW w:w="1443" w:type="dxa"/>
            <w:vMerge w:val="restart"/>
            <w:noWrap/>
            <w:vAlign w:val="center"/>
            <w:hideMark/>
          </w:tcPr>
          <w:p w14:paraId="130016AB" w14:textId="77777777" w:rsidR="00002560" w:rsidRPr="00026FB5" w:rsidRDefault="00002560" w:rsidP="004F7213">
            <w:pPr>
              <w:spacing w:after="0" w:line="240" w:lineRule="auto"/>
              <w:jc w:val="center"/>
              <w:rPr>
                <w:rFonts w:ascii="Calibri" w:hAnsi="Calibri" w:cs="Calibri"/>
                <w:b/>
                <w:bCs/>
              </w:rPr>
            </w:pPr>
            <w:r w:rsidRPr="00026FB5">
              <w:rPr>
                <w:rFonts w:ascii="Calibri" w:hAnsi="Calibri" w:cs="Calibri"/>
                <w:b/>
                <w:bCs/>
              </w:rPr>
              <w:t>Grantee</w:t>
            </w:r>
          </w:p>
        </w:tc>
        <w:tc>
          <w:tcPr>
            <w:tcW w:w="2027" w:type="dxa"/>
            <w:gridSpan w:val="3"/>
            <w:noWrap/>
            <w:vAlign w:val="center"/>
            <w:hideMark/>
          </w:tcPr>
          <w:p w14:paraId="0572624F" w14:textId="240D5938" w:rsidR="00002560" w:rsidRPr="00026FB5" w:rsidRDefault="00002560" w:rsidP="00C5075A">
            <w:pPr>
              <w:spacing w:after="0" w:line="240" w:lineRule="auto"/>
              <w:jc w:val="center"/>
              <w:rPr>
                <w:rFonts w:ascii="Calibri" w:hAnsi="Calibri" w:cs="Calibri"/>
                <w:b/>
                <w:bCs/>
              </w:rPr>
            </w:pPr>
            <w:r w:rsidRPr="00026FB5">
              <w:rPr>
                <w:rFonts w:ascii="Calibri" w:hAnsi="Calibri" w:cs="Calibri"/>
                <w:b/>
                <w:bCs/>
              </w:rPr>
              <w:t>2014 IYS</w:t>
            </w:r>
          </w:p>
        </w:tc>
        <w:tc>
          <w:tcPr>
            <w:tcW w:w="1980" w:type="dxa"/>
            <w:gridSpan w:val="3"/>
            <w:noWrap/>
            <w:vAlign w:val="center"/>
            <w:hideMark/>
          </w:tcPr>
          <w:p w14:paraId="10322F6B" w14:textId="2F2481BA" w:rsidR="00002560" w:rsidRPr="00026FB5" w:rsidRDefault="00002560" w:rsidP="00C5075A">
            <w:pPr>
              <w:spacing w:after="0" w:line="240" w:lineRule="auto"/>
              <w:jc w:val="center"/>
              <w:rPr>
                <w:rFonts w:ascii="Calibri" w:hAnsi="Calibri" w:cs="Calibri"/>
                <w:b/>
                <w:bCs/>
              </w:rPr>
            </w:pPr>
            <w:r w:rsidRPr="00026FB5">
              <w:rPr>
                <w:rFonts w:ascii="Calibri" w:hAnsi="Calibri" w:cs="Calibri"/>
                <w:b/>
                <w:bCs/>
              </w:rPr>
              <w:t>2016 IYS</w:t>
            </w:r>
          </w:p>
        </w:tc>
        <w:tc>
          <w:tcPr>
            <w:tcW w:w="2070" w:type="dxa"/>
            <w:gridSpan w:val="3"/>
            <w:noWrap/>
            <w:vAlign w:val="center"/>
            <w:hideMark/>
          </w:tcPr>
          <w:p w14:paraId="7051D09E" w14:textId="269181E2" w:rsidR="00002560" w:rsidRPr="00026FB5" w:rsidRDefault="00002560" w:rsidP="00C5075A">
            <w:pPr>
              <w:spacing w:after="0" w:line="240" w:lineRule="auto"/>
              <w:jc w:val="center"/>
              <w:rPr>
                <w:rFonts w:ascii="Calibri" w:hAnsi="Calibri" w:cs="Calibri"/>
                <w:b/>
                <w:bCs/>
              </w:rPr>
            </w:pPr>
            <w:r w:rsidRPr="00026FB5">
              <w:rPr>
                <w:rFonts w:ascii="Calibri" w:hAnsi="Calibri" w:cs="Calibri"/>
                <w:b/>
                <w:bCs/>
              </w:rPr>
              <w:t>2018 IYS</w:t>
            </w:r>
          </w:p>
        </w:tc>
        <w:tc>
          <w:tcPr>
            <w:tcW w:w="2070" w:type="dxa"/>
            <w:gridSpan w:val="3"/>
            <w:vAlign w:val="center"/>
          </w:tcPr>
          <w:p w14:paraId="5AD5057E" w14:textId="37306F41" w:rsidR="00002560" w:rsidRPr="00026FB5" w:rsidRDefault="00002560" w:rsidP="00C5075A">
            <w:pPr>
              <w:spacing w:after="0" w:line="240" w:lineRule="auto"/>
              <w:jc w:val="center"/>
              <w:rPr>
                <w:rFonts w:ascii="Calibri" w:hAnsi="Calibri" w:cs="Calibri"/>
                <w:b/>
                <w:bCs/>
              </w:rPr>
            </w:pPr>
            <w:r>
              <w:rPr>
                <w:rFonts w:ascii="Calibri" w:hAnsi="Calibri" w:cs="Calibri"/>
                <w:b/>
                <w:bCs/>
              </w:rPr>
              <w:t>2020 IYS</w:t>
            </w:r>
          </w:p>
        </w:tc>
      </w:tr>
      <w:tr w:rsidR="00002560" w:rsidRPr="00090841" w14:paraId="2CDE6122" w14:textId="77777777" w:rsidTr="00BF6BE3">
        <w:trPr>
          <w:trHeight w:val="315"/>
          <w:jc w:val="center"/>
        </w:trPr>
        <w:tc>
          <w:tcPr>
            <w:tcW w:w="1443" w:type="dxa"/>
            <w:vMerge/>
            <w:vAlign w:val="center"/>
            <w:hideMark/>
          </w:tcPr>
          <w:p w14:paraId="3C3303A8" w14:textId="77777777" w:rsidR="00002560" w:rsidRPr="00090841" w:rsidRDefault="00002560" w:rsidP="004F7213">
            <w:pPr>
              <w:spacing w:after="0" w:line="240" w:lineRule="auto"/>
              <w:rPr>
                <w:rFonts w:ascii="Calibri" w:hAnsi="Calibri" w:cs="Calibri"/>
                <w:b/>
                <w:bCs/>
                <w:color w:val="000000"/>
              </w:rPr>
            </w:pPr>
          </w:p>
        </w:tc>
        <w:tc>
          <w:tcPr>
            <w:tcW w:w="674" w:type="dxa"/>
            <w:shd w:val="clear" w:color="auto" w:fill="auto"/>
            <w:noWrap/>
            <w:vAlign w:val="center"/>
            <w:hideMark/>
          </w:tcPr>
          <w:p w14:paraId="0C201C86" w14:textId="77777777" w:rsidR="00002560" w:rsidRPr="00824CBD" w:rsidRDefault="00002560" w:rsidP="00824CBD">
            <w:pPr>
              <w:spacing w:after="0" w:line="240" w:lineRule="auto"/>
              <w:jc w:val="center"/>
              <w:rPr>
                <w:rFonts w:ascii="Calibri" w:hAnsi="Calibri" w:cs="Calibri"/>
                <w:b/>
                <w:bCs/>
              </w:rPr>
            </w:pPr>
            <w:r w:rsidRPr="00824CBD">
              <w:rPr>
                <w:rFonts w:ascii="Calibri" w:hAnsi="Calibri" w:cs="Calibri"/>
                <w:b/>
                <w:bCs/>
              </w:rPr>
              <w:t>8</w:t>
            </w:r>
            <w:r w:rsidRPr="00824CBD">
              <w:rPr>
                <w:rFonts w:ascii="Calibri" w:hAnsi="Calibri" w:cs="Calibri"/>
                <w:b/>
                <w:bCs/>
                <w:vertAlign w:val="superscript"/>
              </w:rPr>
              <w:t>th</w:t>
            </w:r>
          </w:p>
        </w:tc>
        <w:tc>
          <w:tcPr>
            <w:tcW w:w="676" w:type="dxa"/>
            <w:shd w:val="clear" w:color="auto" w:fill="auto"/>
            <w:noWrap/>
            <w:vAlign w:val="center"/>
            <w:hideMark/>
          </w:tcPr>
          <w:p w14:paraId="46F30803" w14:textId="3D2C24AC" w:rsidR="00002560" w:rsidRPr="00824CBD" w:rsidRDefault="00002560" w:rsidP="00824CBD">
            <w:pPr>
              <w:spacing w:after="0" w:line="240" w:lineRule="auto"/>
              <w:jc w:val="center"/>
              <w:rPr>
                <w:rFonts w:ascii="Calibri" w:hAnsi="Calibri" w:cs="Calibri"/>
                <w:b/>
                <w:bCs/>
              </w:rPr>
            </w:pPr>
            <w:r w:rsidRPr="00824CBD">
              <w:rPr>
                <w:rFonts w:ascii="Calibri" w:hAnsi="Calibri" w:cs="Calibri"/>
                <w:b/>
                <w:bCs/>
              </w:rPr>
              <w:t>10</w:t>
            </w:r>
            <w:r w:rsidRPr="00824CBD">
              <w:rPr>
                <w:rFonts w:ascii="Calibri" w:hAnsi="Calibri" w:cs="Calibri"/>
                <w:b/>
                <w:bCs/>
                <w:vertAlign w:val="superscript"/>
              </w:rPr>
              <w:t>th</w:t>
            </w:r>
          </w:p>
        </w:tc>
        <w:tc>
          <w:tcPr>
            <w:tcW w:w="677" w:type="dxa"/>
            <w:shd w:val="clear" w:color="auto" w:fill="auto"/>
            <w:noWrap/>
            <w:vAlign w:val="center"/>
            <w:hideMark/>
          </w:tcPr>
          <w:p w14:paraId="748731EE" w14:textId="77777777" w:rsidR="00002560" w:rsidRPr="00824CBD" w:rsidRDefault="00002560" w:rsidP="00824CBD">
            <w:pPr>
              <w:spacing w:after="0" w:line="240" w:lineRule="auto"/>
              <w:jc w:val="center"/>
              <w:rPr>
                <w:rFonts w:ascii="Calibri" w:hAnsi="Calibri" w:cs="Calibri"/>
                <w:b/>
                <w:bCs/>
              </w:rPr>
            </w:pPr>
            <w:r w:rsidRPr="00824CBD">
              <w:rPr>
                <w:rFonts w:ascii="Calibri" w:hAnsi="Calibri" w:cs="Calibri"/>
                <w:b/>
                <w:bCs/>
              </w:rPr>
              <w:t>12</w:t>
            </w:r>
            <w:r w:rsidRPr="00824CBD">
              <w:rPr>
                <w:rFonts w:ascii="Calibri" w:hAnsi="Calibri" w:cs="Calibri"/>
                <w:b/>
                <w:bCs/>
                <w:vertAlign w:val="superscript"/>
              </w:rPr>
              <w:t>th</w:t>
            </w:r>
          </w:p>
        </w:tc>
        <w:tc>
          <w:tcPr>
            <w:tcW w:w="677" w:type="dxa"/>
            <w:shd w:val="clear" w:color="auto" w:fill="auto"/>
            <w:noWrap/>
            <w:vAlign w:val="center"/>
            <w:hideMark/>
          </w:tcPr>
          <w:p w14:paraId="0193654F" w14:textId="6187BFF0" w:rsidR="00002560" w:rsidRPr="00824CBD" w:rsidRDefault="00002560" w:rsidP="00824CBD">
            <w:pPr>
              <w:spacing w:after="0" w:line="240" w:lineRule="auto"/>
              <w:jc w:val="center"/>
              <w:rPr>
                <w:rFonts w:ascii="Calibri" w:hAnsi="Calibri" w:cs="Calibri"/>
                <w:b/>
                <w:bCs/>
              </w:rPr>
            </w:pPr>
            <w:r w:rsidRPr="00824CBD">
              <w:rPr>
                <w:rFonts w:ascii="Calibri" w:hAnsi="Calibri" w:cs="Calibri"/>
                <w:b/>
                <w:bCs/>
              </w:rPr>
              <w:t>8</w:t>
            </w:r>
            <w:r w:rsidRPr="00824CBD">
              <w:rPr>
                <w:rFonts w:ascii="Calibri" w:hAnsi="Calibri" w:cs="Calibri"/>
                <w:b/>
                <w:bCs/>
                <w:vertAlign w:val="superscript"/>
              </w:rPr>
              <w:t>th</w:t>
            </w:r>
          </w:p>
        </w:tc>
        <w:tc>
          <w:tcPr>
            <w:tcW w:w="677" w:type="dxa"/>
            <w:shd w:val="clear" w:color="auto" w:fill="auto"/>
            <w:noWrap/>
            <w:vAlign w:val="center"/>
            <w:hideMark/>
          </w:tcPr>
          <w:p w14:paraId="0EA24645" w14:textId="2FDB31C8" w:rsidR="00002560" w:rsidRPr="00824CBD" w:rsidRDefault="00002560" w:rsidP="00824CBD">
            <w:pPr>
              <w:spacing w:after="0" w:line="240" w:lineRule="auto"/>
              <w:jc w:val="center"/>
              <w:rPr>
                <w:rFonts w:ascii="Calibri" w:hAnsi="Calibri" w:cs="Calibri"/>
                <w:b/>
                <w:bCs/>
              </w:rPr>
            </w:pPr>
            <w:r w:rsidRPr="00824CBD">
              <w:rPr>
                <w:rFonts w:ascii="Calibri" w:hAnsi="Calibri" w:cs="Calibri"/>
                <w:b/>
                <w:bCs/>
              </w:rPr>
              <w:t>10</w:t>
            </w:r>
            <w:r w:rsidRPr="00824CBD">
              <w:rPr>
                <w:rFonts w:ascii="Calibri" w:hAnsi="Calibri" w:cs="Calibri"/>
                <w:b/>
                <w:bCs/>
                <w:vertAlign w:val="superscript"/>
              </w:rPr>
              <w:t>th</w:t>
            </w:r>
          </w:p>
        </w:tc>
        <w:tc>
          <w:tcPr>
            <w:tcW w:w="626" w:type="dxa"/>
            <w:shd w:val="clear" w:color="auto" w:fill="auto"/>
            <w:noWrap/>
            <w:vAlign w:val="center"/>
            <w:hideMark/>
          </w:tcPr>
          <w:p w14:paraId="026E6BE2" w14:textId="07118619" w:rsidR="00002560" w:rsidRPr="00824CBD" w:rsidRDefault="00002560" w:rsidP="00824CBD">
            <w:pPr>
              <w:spacing w:after="0" w:line="240" w:lineRule="auto"/>
              <w:jc w:val="center"/>
              <w:rPr>
                <w:rFonts w:ascii="Calibri" w:hAnsi="Calibri" w:cs="Calibri"/>
                <w:b/>
                <w:bCs/>
              </w:rPr>
            </w:pPr>
            <w:r w:rsidRPr="00824CBD">
              <w:rPr>
                <w:rFonts w:ascii="Calibri" w:hAnsi="Calibri" w:cs="Calibri"/>
                <w:b/>
                <w:bCs/>
              </w:rPr>
              <w:t>12</w:t>
            </w:r>
            <w:r w:rsidRPr="00824CBD">
              <w:rPr>
                <w:rFonts w:ascii="Calibri" w:hAnsi="Calibri" w:cs="Calibri"/>
                <w:b/>
                <w:bCs/>
                <w:vertAlign w:val="superscript"/>
              </w:rPr>
              <w:t>th</w:t>
            </w:r>
          </w:p>
        </w:tc>
        <w:tc>
          <w:tcPr>
            <w:tcW w:w="728" w:type="dxa"/>
            <w:shd w:val="clear" w:color="auto" w:fill="auto"/>
            <w:noWrap/>
            <w:vAlign w:val="center"/>
            <w:hideMark/>
          </w:tcPr>
          <w:p w14:paraId="612D7F86" w14:textId="465228A6" w:rsidR="00002560" w:rsidRPr="00824CBD" w:rsidRDefault="00002560" w:rsidP="00824CBD">
            <w:pPr>
              <w:spacing w:after="0" w:line="240" w:lineRule="auto"/>
              <w:jc w:val="center"/>
              <w:rPr>
                <w:rFonts w:ascii="Calibri" w:hAnsi="Calibri" w:cs="Calibri"/>
                <w:b/>
                <w:bCs/>
              </w:rPr>
            </w:pPr>
            <w:r w:rsidRPr="00824CBD">
              <w:rPr>
                <w:rFonts w:ascii="Calibri" w:hAnsi="Calibri" w:cs="Calibri"/>
                <w:b/>
                <w:bCs/>
              </w:rPr>
              <w:t>8</w:t>
            </w:r>
            <w:r w:rsidRPr="00824CBD">
              <w:rPr>
                <w:rFonts w:ascii="Calibri" w:hAnsi="Calibri" w:cs="Calibri"/>
                <w:b/>
                <w:bCs/>
                <w:vertAlign w:val="superscript"/>
              </w:rPr>
              <w:t>th</w:t>
            </w:r>
          </w:p>
        </w:tc>
        <w:tc>
          <w:tcPr>
            <w:tcW w:w="677" w:type="dxa"/>
            <w:shd w:val="clear" w:color="auto" w:fill="auto"/>
            <w:noWrap/>
            <w:vAlign w:val="center"/>
            <w:hideMark/>
          </w:tcPr>
          <w:p w14:paraId="298225A4" w14:textId="58EE51A7" w:rsidR="00002560" w:rsidRPr="00824CBD" w:rsidRDefault="00002560" w:rsidP="00824CBD">
            <w:pPr>
              <w:spacing w:after="0" w:line="240" w:lineRule="auto"/>
              <w:jc w:val="center"/>
              <w:rPr>
                <w:rFonts w:ascii="Calibri" w:hAnsi="Calibri" w:cs="Calibri"/>
                <w:b/>
                <w:bCs/>
              </w:rPr>
            </w:pPr>
            <w:r w:rsidRPr="00824CBD">
              <w:rPr>
                <w:rFonts w:ascii="Calibri" w:hAnsi="Calibri" w:cs="Calibri"/>
                <w:b/>
                <w:bCs/>
              </w:rPr>
              <w:t>10</w:t>
            </w:r>
            <w:r w:rsidRPr="00824CBD">
              <w:rPr>
                <w:rFonts w:ascii="Calibri" w:hAnsi="Calibri" w:cs="Calibri"/>
                <w:b/>
                <w:bCs/>
                <w:vertAlign w:val="superscript"/>
              </w:rPr>
              <w:t>th</w:t>
            </w:r>
          </w:p>
        </w:tc>
        <w:tc>
          <w:tcPr>
            <w:tcW w:w="665" w:type="dxa"/>
            <w:shd w:val="clear" w:color="auto" w:fill="auto"/>
            <w:noWrap/>
            <w:vAlign w:val="center"/>
            <w:hideMark/>
          </w:tcPr>
          <w:p w14:paraId="00EAD13C" w14:textId="49BF5C58" w:rsidR="00002560" w:rsidRPr="00824CBD" w:rsidRDefault="00002560" w:rsidP="00824CBD">
            <w:pPr>
              <w:spacing w:after="0" w:line="240" w:lineRule="auto"/>
              <w:jc w:val="center"/>
              <w:rPr>
                <w:rFonts w:ascii="Calibri" w:hAnsi="Calibri" w:cs="Calibri"/>
                <w:b/>
                <w:bCs/>
              </w:rPr>
            </w:pPr>
            <w:r w:rsidRPr="00824CBD">
              <w:rPr>
                <w:rFonts w:ascii="Calibri" w:hAnsi="Calibri" w:cs="Calibri"/>
                <w:b/>
                <w:bCs/>
              </w:rPr>
              <w:t>12</w:t>
            </w:r>
            <w:r w:rsidRPr="00824CBD">
              <w:rPr>
                <w:rFonts w:ascii="Calibri" w:hAnsi="Calibri" w:cs="Calibri"/>
                <w:b/>
                <w:bCs/>
                <w:vertAlign w:val="superscript"/>
              </w:rPr>
              <w:t>th</w:t>
            </w:r>
          </w:p>
        </w:tc>
        <w:tc>
          <w:tcPr>
            <w:tcW w:w="689" w:type="dxa"/>
            <w:shd w:val="clear" w:color="auto" w:fill="auto"/>
            <w:vAlign w:val="center"/>
          </w:tcPr>
          <w:p w14:paraId="213842A6" w14:textId="4B89024B" w:rsidR="00002560" w:rsidRPr="00824CBD" w:rsidRDefault="00002560" w:rsidP="00824CBD">
            <w:pPr>
              <w:spacing w:after="0" w:line="240" w:lineRule="auto"/>
              <w:jc w:val="center"/>
              <w:rPr>
                <w:rFonts w:ascii="Calibri" w:hAnsi="Calibri" w:cs="Calibri"/>
                <w:b/>
                <w:bCs/>
              </w:rPr>
            </w:pPr>
            <w:r w:rsidRPr="00824CBD">
              <w:rPr>
                <w:rFonts w:ascii="Calibri" w:hAnsi="Calibri" w:cs="Calibri"/>
                <w:b/>
                <w:bCs/>
              </w:rPr>
              <w:t>8</w:t>
            </w:r>
            <w:r w:rsidRPr="00824CBD">
              <w:rPr>
                <w:rFonts w:ascii="Calibri" w:hAnsi="Calibri" w:cs="Calibri"/>
                <w:b/>
                <w:bCs/>
                <w:vertAlign w:val="superscript"/>
              </w:rPr>
              <w:t>th</w:t>
            </w:r>
            <w:r>
              <w:rPr>
                <w:rFonts w:ascii="Calibri" w:hAnsi="Calibri" w:cs="Calibri"/>
                <w:b/>
                <w:bCs/>
              </w:rPr>
              <w:t xml:space="preserve"> </w:t>
            </w:r>
          </w:p>
        </w:tc>
        <w:tc>
          <w:tcPr>
            <w:tcW w:w="677" w:type="dxa"/>
            <w:shd w:val="clear" w:color="auto" w:fill="auto"/>
            <w:vAlign w:val="center"/>
          </w:tcPr>
          <w:p w14:paraId="62EB3B54" w14:textId="6229DA13" w:rsidR="00002560" w:rsidRPr="00824CBD" w:rsidRDefault="00002560" w:rsidP="00824CBD">
            <w:pPr>
              <w:spacing w:after="0" w:line="240" w:lineRule="auto"/>
              <w:jc w:val="center"/>
              <w:rPr>
                <w:rFonts w:ascii="Calibri" w:hAnsi="Calibri" w:cs="Calibri"/>
                <w:b/>
                <w:bCs/>
              </w:rPr>
            </w:pPr>
            <w:r w:rsidRPr="00824CBD">
              <w:rPr>
                <w:rFonts w:ascii="Calibri" w:hAnsi="Calibri" w:cs="Calibri"/>
                <w:b/>
                <w:bCs/>
              </w:rPr>
              <w:t>10</w:t>
            </w:r>
            <w:r w:rsidRPr="00824CBD">
              <w:rPr>
                <w:rFonts w:ascii="Calibri" w:hAnsi="Calibri" w:cs="Calibri"/>
                <w:b/>
                <w:bCs/>
                <w:vertAlign w:val="superscript"/>
              </w:rPr>
              <w:t>th</w:t>
            </w:r>
            <w:r>
              <w:rPr>
                <w:rFonts w:ascii="Calibri" w:hAnsi="Calibri" w:cs="Calibri"/>
                <w:b/>
                <w:bCs/>
              </w:rPr>
              <w:t xml:space="preserve"> </w:t>
            </w:r>
          </w:p>
        </w:tc>
        <w:tc>
          <w:tcPr>
            <w:tcW w:w="704" w:type="dxa"/>
            <w:shd w:val="clear" w:color="auto" w:fill="auto"/>
            <w:vAlign w:val="center"/>
          </w:tcPr>
          <w:p w14:paraId="7EBAD98C" w14:textId="7A9FFB24" w:rsidR="00002560" w:rsidRPr="00824CBD" w:rsidRDefault="00002560" w:rsidP="00824CBD">
            <w:pPr>
              <w:spacing w:after="0" w:line="240" w:lineRule="auto"/>
              <w:jc w:val="center"/>
              <w:rPr>
                <w:rFonts w:ascii="Calibri" w:hAnsi="Calibri" w:cs="Calibri"/>
                <w:b/>
                <w:bCs/>
              </w:rPr>
            </w:pPr>
            <w:r w:rsidRPr="00824CBD">
              <w:rPr>
                <w:rFonts w:ascii="Calibri" w:hAnsi="Calibri" w:cs="Calibri"/>
                <w:b/>
                <w:bCs/>
              </w:rPr>
              <w:t>12</w:t>
            </w:r>
            <w:r w:rsidRPr="00824CBD">
              <w:rPr>
                <w:rFonts w:ascii="Calibri" w:hAnsi="Calibri" w:cs="Calibri"/>
                <w:b/>
                <w:bCs/>
                <w:vertAlign w:val="superscript"/>
              </w:rPr>
              <w:t>th</w:t>
            </w:r>
            <w:r>
              <w:rPr>
                <w:rFonts w:ascii="Calibri" w:hAnsi="Calibri" w:cs="Calibri"/>
                <w:b/>
                <w:bCs/>
              </w:rPr>
              <w:t xml:space="preserve"> </w:t>
            </w:r>
          </w:p>
        </w:tc>
      </w:tr>
      <w:tr w:rsidR="00002560" w:rsidRPr="00090841" w14:paraId="26444526" w14:textId="77777777" w:rsidTr="00BF6BE3">
        <w:trPr>
          <w:trHeight w:val="300"/>
          <w:jc w:val="center"/>
        </w:trPr>
        <w:tc>
          <w:tcPr>
            <w:tcW w:w="1443" w:type="dxa"/>
            <w:noWrap/>
            <w:vAlign w:val="bottom"/>
            <w:hideMark/>
          </w:tcPr>
          <w:p w14:paraId="4DAE9416" w14:textId="77777777" w:rsidR="00002560" w:rsidRPr="00090841" w:rsidRDefault="00002560" w:rsidP="00002560">
            <w:pPr>
              <w:spacing w:after="0" w:line="240" w:lineRule="auto"/>
              <w:rPr>
                <w:rFonts w:ascii="Calibri" w:hAnsi="Calibri" w:cs="Calibri"/>
              </w:rPr>
            </w:pPr>
            <w:r w:rsidRPr="00090841">
              <w:rPr>
                <w:rFonts w:ascii="Calibri" w:hAnsi="Calibri" w:cs="Calibri"/>
              </w:rPr>
              <w:t xml:space="preserve">FHN </w:t>
            </w:r>
          </w:p>
        </w:tc>
        <w:tc>
          <w:tcPr>
            <w:tcW w:w="674" w:type="dxa"/>
            <w:shd w:val="clear" w:color="FFFFFF" w:fill="FFD966"/>
            <w:noWrap/>
            <w:vAlign w:val="center"/>
            <w:hideMark/>
          </w:tcPr>
          <w:p w14:paraId="3D73F811"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65%</w:t>
            </w:r>
          </w:p>
        </w:tc>
        <w:tc>
          <w:tcPr>
            <w:tcW w:w="676" w:type="dxa"/>
            <w:shd w:val="clear" w:color="000000" w:fill="FFD966"/>
            <w:noWrap/>
            <w:vAlign w:val="center"/>
            <w:hideMark/>
          </w:tcPr>
          <w:p w14:paraId="2500897B"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53%</w:t>
            </w:r>
          </w:p>
        </w:tc>
        <w:tc>
          <w:tcPr>
            <w:tcW w:w="677" w:type="dxa"/>
            <w:shd w:val="clear" w:color="000000" w:fill="FFD966"/>
            <w:noWrap/>
            <w:vAlign w:val="center"/>
            <w:hideMark/>
          </w:tcPr>
          <w:p w14:paraId="20A6FD57"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56%</w:t>
            </w:r>
          </w:p>
        </w:tc>
        <w:tc>
          <w:tcPr>
            <w:tcW w:w="677" w:type="dxa"/>
            <w:shd w:val="clear" w:color="000000" w:fill="A9D08E"/>
            <w:noWrap/>
            <w:vAlign w:val="center"/>
            <w:hideMark/>
          </w:tcPr>
          <w:p w14:paraId="4151BB49"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71%</w:t>
            </w:r>
          </w:p>
        </w:tc>
        <w:tc>
          <w:tcPr>
            <w:tcW w:w="677" w:type="dxa"/>
            <w:shd w:val="clear" w:color="000000" w:fill="FFD966"/>
            <w:noWrap/>
            <w:vAlign w:val="center"/>
            <w:hideMark/>
          </w:tcPr>
          <w:p w14:paraId="778AC0B3"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58%</w:t>
            </w:r>
          </w:p>
        </w:tc>
        <w:tc>
          <w:tcPr>
            <w:tcW w:w="626" w:type="dxa"/>
            <w:shd w:val="clear" w:color="000000" w:fill="FFD966"/>
            <w:noWrap/>
            <w:vAlign w:val="center"/>
            <w:hideMark/>
          </w:tcPr>
          <w:p w14:paraId="210F836C"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54%</w:t>
            </w:r>
          </w:p>
        </w:tc>
        <w:tc>
          <w:tcPr>
            <w:tcW w:w="728" w:type="dxa"/>
            <w:shd w:val="clear" w:color="000000" w:fill="A9D08E"/>
            <w:noWrap/>
            <w:vAlign w:val="center"/>
            <w:hideMark/>
          </w:tcPr>
          <w:p w14:paraId="6B318B64"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90%</w:t>
            </w:r>
          </w:p>
        </w:tc>
        <w:tc>
          <w:tcPr>
            <w:tcW w:w="677" w:type="dxa"/>
            <w:shd w:val="clear" w:color="000000" w:fill="FFD966"/>
            <w:noWrap/>
            <w:vAlign w:val="center"/>
            <w:hideMark/>
          </w:tcPr>
          <w:p w14:paraId="66BD6E44"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65%</w:t>
            </w:r>
          </w:p>
        </w:tc>
        <w:tc>
          <w:tcPr>
            <w:tcW w:w="665" w:type="dxa"/>
            <w:shd w:val="clear" w:color="000000" w:fill="FFD966"/>
            <w:noWrap/>
            <w:vAlign w:val="center"/>
            <w:hideMark/>
          </w:tcPr>
          <w:p w14:paraId="0C3C191F"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56%</w:t>
            </w:r>
          </w:p>
        </w:tc>
        <w:tc>
          <w:tcPr>
            <w:tcW w:w="689" w:type="dxa"/>
            <w:shd w:val="clear" w:color="auto" w:fill="A8D08D" w:themeFill="accent6" w:themeFillTint="99"/>
            <w:vAlign w:val="center"/>
          </w:tcPr>
          <w:p w14:paraId="3C3A4CE1" w14:textId="3601CBD6" w:rsidR="00002560" w:rsidRPr="00090841" w:rsidRDefault="00002560" w:rsidP="00002560">
            <w:pPr>
              <w:spacing w:after="0" w:line="240" w:lineRule="auto"/>
              <w:jc w:val="center"/>
              <w:rPr>
                <w:rFonts w:ascii="Calibri" w:hAnsi="Calibri" w:cs="Calibri"/>
                <w:color w:val="000000"/>
              </w:rPr>
            </w:pPr>
            <w:r w:rsidRPr="007832BB">
              <w:rPr>
                <w:rFonts w:ascii="Calibri" w:hAnsi="Calibri" w:cs="Calibri"/>
                <w:bCs/>
              </w:rPr>
              <w:t>71%</w:t>
            </w:r>
          </w:p>
        </w:tc>
        <w:tc>
          <w:tcPr>
            <w:tcW w:w="677" w:type="dxa"/>
            <w:shd w:val="clear" w:color="auto" w:fill="FFD966" w:themeFill="accent4" w:themeFillTint="99"/>
          </w:tcPr>
          <w:p w14:paraId="56F56E0E" w14:textId="2153CAC4" w:rsidR="00002560" w:rsidRPr="00090841" w:rsidRDefault="00002560" w:rsidP="00002560">
            <w:pPr>
              <w:spacing w:after="0" w:line="240" w:lineRule="auto"/>
              <w:jc w:val="center"/>
              <w:rPr>
                <w:rFonts w:ascii="Calibri" w:hAnsi="Calibri" w:cs="Calibri"/>
                <w:color w:val="000000"/>
              </w:rPr>
            </w:pPr>
            <w:r>
              <w:rPr>
                <w:rFonts w:ascii="Calibri" w:hAnsi="Calibri" w:cs="Calibri"/>
                <w:color w:val="000000"/>
              </w:rPr>
              <w:t>62%</w:t>
            </w:r>
          </w:p>
        </w:tc>
        <w:tc>
          <w:tcPr>
            <w:tcW w:w="704" w:type="dxa"/>
            <w:shd w:val="clear" w:color="auto" w:fill="FFD966" w:themeFill="accent4" w:themeFillTint="99"/>
          </w:tcPr>
          <w:p w14:paraId="0740BA99" w14:textId="06797347" w:rsidR="00002560" w:rsidRPr="00090841" w:rsidRDefault="00002560" w:rsidP="00002560">
            <w:pPr>
              <w:spacing w:after="0" w:line="240" w:lineRule="auto"/>
              <w:jc w:val="center"/>
              <w:rPr>
                <w:rFonts w:ascii="Calibri" w:hAnsi="Calibri" w:cs="Calibri"/>
                <w:color w:val="000000"/>
              </w:rPr>
            </w:pPr>
            <w:r>
              <w:rPr>
                <w:rFonts w:ascii="Calibri" w:hAnsi="Calibri" w:cs="Calibri"/>
                <w:color w:val="000000"/>
              </w:rPr>
              <w:t>54%</w:t>
            </w:r>
          </w:p>
        </w:tc>
      </w:tr>
      <w:tr w:rsidR="00002560" w:rsidRPr="00090841" w14:paraId="334CAC98" w14:textId="77777777" w:rsidTr="00BF6BE3">
        <w:trPr>
          <w:trHeight w:val="300"/>
          <w:jc w:val="center"/>
        </w:trPr>
        <w:tc>
          <w:tcPr>
            <w:tcW w:w="1443" w:type="dxa"/>
            <w:noWrap/>
            <w:vAlign w:val="bottom"/>
            <w:hideMark/>
          </w:tcPr>
          <w:p w14:paraId="660F270A" w14:textId="77777777" w:rsidR="00002560" w:rsidRPr="00090841" w:rsidRDefault="00002560" w:rsidP="004F7213">
            <w:pPr>
              <w:spacing w:after="0" w:line="240" w:lineRule="auto"/>
              <w:rPr>
                <w:rFonts w:ascii="Calibri" w:hAnsi="Calibri" w:cs="Calibri"/>
              </w:rPr>
            </w:pPr>
            <w:r>
              <w:rPr>
                <w:rFonts w:ascii="Calibri" w:hAnsi="Calibri" w:cs="Calibri"/>
              </w:rPr>
              <w:t>IKAN</w:t>
            </w:r>
            <w:r w:rsidRPr="00090841">
              <w:rPr>
                <w:rFonts w:ascii="Calibri" w:hAnsi="Calibri" w:cs="Calibri"/>
              </w:rPr>
              <w:t xml:space="preserve">  </w:t>
            </w:r>
          </w:p>
        </w:tc>
        <w:tc>
          <w:tcPr>
            <w:tcW w:w="674" w:type="dxa"/>
            <w:shd w:val="clear" w:color="FFFFFF" w:fill="A9D08E"/>
            <w:noWrap/>
            <w:vAlign w:val="center"/>
            <w:hideMark/>
          </w:tcPr>
          <w:p w14:paraId="6E5995A1" w14:textId="77777777" w:rsidR="00002560" w:rsidRPr="007832BB" w:rsidRDefault="00002560" w:rsidP="004F7213">
            <w:pPr>
              <w:spacing w:after="0" w:line="240" w:lineRule="auto"/>
              <w:jc w:val="center"/>
              <w:rPr>
                <w:rFonts w:ascii="Calibri" w:hAnsi="Calibri" w:cs="Calibri"/>
                <w:bCs/>
              </w:rPr>
            </w:pPr>
            <w:r w:rsidRPr="007832BB">
              <w:rPr>
                <w:rFonts w:ascii="Calibri" w:hAnsi="Calibri" w:cs="Calibri"/>
                <w:bCs/>
              </w:rPr>
              <w:t>86%</w:t>
            </w:r>
          </w:p>
        </w:tc>
        <w:tc>
          <w:tcPr>
            <w:tcW w:w="676" w:type="dxa"/>
            <w:shd w:val="clear" w:color="FFFFFF" w:fill="FFD966"/>
            <w:noWrap/>
            <w:vAlign w:val="center"/>
            <w:hideMark/>
          </w:tcPr>
          <w:p w14:paraId="7DCE2A03" w14:textId="77777777" w:rsidR="00002560" w:rsidRPr="007832BB" w:rsidRDefault="00002560" w:rsidP="004F7213">
            <w:pPr>
              <w:spacing w:after="0" w:line="240" w:lineRule="auto"/>
              <w:jc w:val="center"/>
              <w:rPr>
                <w:rFonts w:ascii="Calibri" w:hAnsi="Calibri" w:cs="Calibri"/>
                <w:bCs/>
              </w:rPr>
            </w:pPr>
            <w:r w:rsidRPr="007832BB">
              <w:rPr>
                <w:rFonts w:ascii="Calibri" w:hAnsi="Calibri" w:cs="Calibri"/>
                <w:bCs/>
              </w:rPr>
              <w:t>61%</w:t>
            </w:r>
          </w:p>
        </w:tc>
        <w:tc>
          <w:tcPr>
            <w:tcW w:w="677" w:type="dxa"/>
            <w:shd w:val="clear" w:color="000000" w:fill="FFD966"/>
            <w:noWrap/>
            <w:vAlign w:val="center"/>
            <w:hideMark/>
          </w:tcPr>
          <w:p w14:paraId="692E9DEA" w14:textId="77777777" w:rsidR="00002560" w:rsidRPr="007832BB" w:rsidRDefault="00002560" w:rsidP="004F7213">
            <w:pPr>
              <w:spacing w:after="0" w:line="240" w:lineRule="auto"/>
              <w:jc w:val="center"/>
              <w:rPr>
                <w:rFonts w:ascii="Calibri" w:hAnsi="Calibri" w:cs="Calibri"/>
                <w:bCs/>
              </w:rPr>
            </w:pPr>
            <w:r w:rsidRPr="007832BB">
              <w:rPr>
                <w:rFonts w:ascii="Calibri" w:hAnsi="Calibri" w:cs="Calibri"/>
                <w:bCs/>
              </w:rPr>
              <w:t>56%</w:t>
            </w:r>
          </w:p>
        </w:tc>
        <w:tc>
          <w:tcPr>
            <w:tcW w:w="677" w:type="dxa"/>
            <w:shd w:val="clear" w:color="000000" w:fill="A9D08E"/>
            <w:noWrap/>
            <w:vAlign w:val="center"/>
            <w:hideMark/>
          </w:tcPr>
          <w:p w14:paraId="3C6CF858" w14:textId="77777777" w:rsidR="00002560" w:rsidRPr="007832BB" w:rsidRDefault="00002560" w:rsidP="004F7213">
            <w:pPr>
              <w:spacing w:after="0" w:line="240" w:lineRule="auto"/>
              <w:jc w:val="center"/>
              <w:rPr>
                <w:rFonts w:ascii="Calibri" w:hAnsi="Calibri" w:cs="Calibri"/>
                <w:bCs/>
              </w:rPr>
            </w:pPr>
            <w:r w:rsidRPr="007832BB">
              <w:rPr>
                <w:rFonts w:ascii="Calibri" w:hAnsi="Calibri" w:cs="Calibri"/>
                <w:bCs/>
              </w:rPr>
              <w:t>88%</w:t>
            </w:r>
          </w:p>
        </w:tc>
        <w:tc>
          <w:tcPr>
            <w:tcW w:w="677" w:type="dxa"/>
            <w:shd w:val="clear" w:color="000000" w:fill="A9D08E"/>
            <w:noWrap/>
            <w:vAlign w:val="center"/>
            <w:hideMark/>
          </w:tcPr>
          <w:p w14:paraId="3B8015BF" w14:textId="77777777" w:rsidR="00002560" w:rsidRPr="007832BB" w:rsidRDefault="00002560" w:rsidP="004F7213">
            <w:pPr>
              <w:spacing w:after="0" w:line="240" w:lineRule="auto"/>
              <w:jc w:val="center"/>
              <w:rPr>
                <w:rFonts w:ascii="Calibri" w:hAnsi="Calibri" w:cs="Calibri"/>
                <w:bCs/>
              </w:rPr>
            </w:pPr>
            <w:r w:rsidRPr="007832BB">
              <w:rPr>
                <w:rFonts w:ascii="Calibri" w:hAnsi="Calibri" w:cs="Calibri"/>
                <w:bCs/>
              </w:rPr>
              <w:t>79%</w:t>
            </w:r>
          </w:p>
        </w:tc>
        <w:tc>
          <w:tcPr>
            <w:tcW w:w="626" w:type="dxa"/>
            <w:shd w:val="clear" w:color="000000" w:fill="A9D08E"/>
            <w:noWrap/>
            <w:vAlign w:val="center"/>
            <w:hideMark/>
          </w:tcPr>
          <w:p w14:paraId="3BCF08B1" w14:textId="77777777" w:rsidR="00002560" w:rsidRPr="007832BB" w:rsidRDefault="00002560" w:rsidP="004F7213">
            <w:pPr>
              <w:spacing w:after="0" w:line="240" w:lineRule="auto"/>
              <w:jc w:val="center"/>
              <w:rPr>
                <w:rFonts w:ascii="Calibri" w:hAnsi="Calibri" w:cs="Calibri"/>
                <w:bCs/>
              </w:rPr>
            </w:pPr>
            <w:r w:rsidRPr="007832BB">
              <w:rPr>
                <w:rFonts w:ascii="Calibri" w:hAnsi="Calibri" w:cs="Calibri"/>
                <w:bCs/>
              </w:rPr>
              <w:t>72%</w:t>
            </w:r>
          </w:p>
        </w:tc>
        <w:tc>
          <w:tcPr>
            <w:tcW w:w="728" w:type="dxa"/>
            <w:shd w:val="clear" w:color="000000" w:fill="A9D08E"/>
            <w:noWrap/>
            <w:vAlign w:val="center"/>
            <w:hideMark/>
          </w:tcPr>
          <w:p w14:paraId="108D5302" w14:textId="77777777" w:rsidR="00002560" w:rsidRPr="007832BB" w:rsidRDefault="00002560" w:rsidP="004F7213">
            <w:pPr>
              <w:spacing w:after="0" w:line="240" w:lineRule="auto"/>
              <w:jc w:val="center"/>
              <w:rPr>
                <w:rFonts w:ascii="Calibri" w:hAnsi="Calibri" w:cs="Calibri"/>
                <w:bCs/>
              </w:rPr>
            </w:pPr>
            <w:r w:rsidRPr="007832BB">
              <w:rPr>
                <w:rFonts w:ascii="Calibri" w:hAnsi="Calibri" w:cs="Calibri"/>
                <w:bCs/>
              </w:rPr>
              <w:t>86%</w:t>
            </w:r>
          </w:p>
        </w:tc>
        <w:tc>
          <w:tcPr>
            <w:tcW w:w="677" w:type="dxa"/>
            <w:shd w:val="clear" w:color="000000" w:fill="A9D08E"/>
            <w:noWrap/>
            <w:vAlign w:val="center"/>
            <w:hideMark/>
          </w:tcPr>
          <w:p w14:paraId="18B62C00" w14:textId="77777777" w:rsidR="00002560" w:rsidRPr="007832BB" w:rsidRDefault="00002560" w:rsidP="004F7213">
            <w:pPr>
              <w:spacing w:after="0" w:line="240" w:lineRule="auto"/>
              <w:jc w:val="center"/>
              <w:rPr>
                <w:rFonts w:ascii="Calibri" w:hAnsi="Calibri" w:cs="Calibri"/>
                <w:bCs/>
              </w:rPr>
            </w:pPr>
            <w:r w:rsidRPr="007832BB">
              <w:rPr>
                <w:rFonts w:ascii="Calibri" w:hAnsi="Calibri" w:cs="Calibri"/>
                <w:bCs/>
              </w:rPr>
              <w:t>84%</w:t>
            </w:r>
          </w:p>
        </w:tc>
        <w:tc>
          <w:tcPr>
            <w:tcW w:w="665" w:type="dxa"/>
            <w:shd w:val="clear" w:color="000000" w:fill="A9D08E"/>
            <w:noWrap/>
            <w:vAlign w:val="center"/>
            <w:hideMark/>
          </w:tcPr>
          <w:p w14:paraId="1FC2BF4A" w14:textId="77777777" w:rsidR="00002560" w:rsidRPr="007832BB" w:rsidRDefault="00002560" w:rsidP="004F7213">
            <w:pPr>
              <w:spacing w:after="0" w:line="240" w:lineRule="auto"/>
              <w:jc w:val="center"/>
              <w:rPr>
                <w:rFonts w:ascii="Calibri" w:hAnsi="Calibri" w:cs="Calibri"/>
                <w:bCs/>
              </w:rPr>
            </w:pPr>
            <w:r w:rsidRPr="007832BB">
              <w:rPr>
                <w:rFonts w:ascii="Calibri" w:hAnsi="Calibri" w:cs="Calibri"/>
                <w:bCs/>
              </w:rPr>
              <w:t>72%</w:t>
            </w:r>
          </w:p>
        </w:tc>
        <w:tc>
          <w:tcPr>
            <w:tcW w:w="689" w:type="dxa"/>
            <w:shd w:val="clear" w:color="auto" w:fill="FFD966" w:themeFill="accent4" w:themeFillTint="99"/>
          </w:tcPr>
          <w:p w14:paraId="0C6F23FE" w14:textId="0DB2C0D2" w:rsidR="00002560" w:rsidRPr="00090841" w:rsidRDefault="00002560" w:rsidP="004F7213">
            <w:pPr>
              <w:spacing w:after="0" w:line="240" w:lineRule="auto"/>
              <w:jc w:val="center"/>
              <w:rPr>
                <w:rFonts w:ascii="Calibri" w:hAnsi="Calibri" w:cs="Calibri"/>
                <w:color w:val="000000"/>
              </w:rPr>
            </w:pPr>
            <w:r>
              <w:rPr>
                <w:rFonts w:ascii="Calibri" w:hAnsi="Calibri" w:cs="Calibri"/>
                <w:color w:val="000000"/>
              </w:rPr>
              <w:t>69%</w:t>
            </w:r>
          </w:p>
        </w:tc>
        <w:tc>
          <w:tcPr>
            <w:tcW w:w="677" w:type="dxa"/>
            <w:shd w:val="clear" w:color="auto" w:fill="A8D08D" w:themeFill="accent6" w:themeFillTint="99"/>
          </w:tcPr>
          <w:p w14:paraId="5634A758" w14:textId="3A276265" w:rsidR="00002560" w:rsidRPr="00090841" w:rsidRDefault="00002560" w:rsidP="004F7213">
            <w:pPr>
              <w:spacing w:after="0" w:line="240" w:lineRule="auto"/>
              <w:jc w:val="center"/>
              <w:rPr>
                <w:rFonts w:ascii="Calibri" w:hAnsi="Calibri" w:cs="Calibri"/>
                <w:color w:val="000000"/>
              </w:rPr>
            </w:pPr>
            <w:r>
              <w:rPr>
                <w:rFonts w:ascii="Calibri" w:hAnsi="Calibri" w:cs="Calibri"/>
                <w:color w:val="000000"/>
              </w:rPr>
              <w:t>77%</w:t>
            </w:r>
          </w:p>
        </w:tc>
        <w:tc>
          <w:tcPr>
            <w:tcW w:w="704" w:type="dxa"/>
            <w:shd w:val="clear" w:color="auto" w:fill="FFD966" w:themeFill="accent4" w:themeFillTint="99"/>
          </w:tcPr>
          <w:p w14:paraId="5101B153" w14:textId="380ED006" w:rsidR="00002560" w:rsidRPr="00090841" w:rsidRDefault="00002560" w:rsidP="004F7213">
            <w:pPr>
              <w:spacing w:after="0" w:line="240" w:lineRule="auto"/>
              <w:jc w:val="center"/>
              <w:rPr>
                <w:rFonts w:ascii="Calibri" w:hAnsi="Calibri" w:cs="Calibri"/>
                <w:color w:val="000000"/>
              </w:rPr>
            </w:pPr>
            <w:r>
              <w:rPr>
                <w:rFonts w:ascii="Calibri" w:hAnsi="Calibri" w:cs="Calibri"/>
                <w:color w:val="000000"/>
              </w:rPr>
              <w:t>60%</w:t>
            </w:r>
          </w:p>
        </w:tc>
      </w:tr>
      <w:tr w:rsidR="00002560" w:rsidRPr="00090841" w14:paraId="557B387E" w14:textId="77777777" w:rsidTr="00BF6BE3">
        <w:trPr>
          <w:trHeight w:val="300"/>
          <w:jc w:val="center"/>
        </w:trPr>
        <w:tc>
          <w:tcPr>
            <w:tcW w:w="1443" w:type="dxa"/>
            <w:noWrap/>
            <w:vAlign w:val="bottom"/>
            <w:hideMark/>
          </w:tcPr>
          <w:p w14:paraId="1F8613C5" w14:textId="77777777" w:rsidR="00002560" w:rsidRPr="00090841" w:rsidRDefault="00002560" w:rsidP="00002560">
            <w:pPr>
              <w:spacing w:after="0" w:line="240" w:lineRule="auto"/>
              <w:rPr>
                <w:rFonts w:ascii="Calibri" w:hAnsi="Calibri" w:cs="Calibri"/>
              </w:rPr>
            </w:pPr>
            <w:r w:rsidRPr="00090841">
              <w:rPr>
                <w:rFonts w:ascii="Calibri" w:hAnsi="Calibri" w:cs="Calibri"/>
              </w:rPr>
              <w:t xml:space="preserve">Kenneth </w:t>
            </w:r>
            <w:r>
              <w:rPr>
                <w:rFonts w:ascii="Calibri" w:hAnsi="Calibri" w:cs="Calibri"/>
              </w:rPr>
              <w:t>YC</w:t>
            </w:r>
          </w:p>
        </w:tc>
        <w:tc>
          <w:tcPr>
            <w:tcW w:w="674" w:type="dxa"/>
            <w:shd w:val="clear" w:color="000000" w:fill="FF6D6D"/>
            <w:noWrap/>
            <w:vAlign w:val="center"/>
            <w:hideMark/>
          </w:tcPr>
          <w:p w14:paraId="75B12A28"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12%</w:t>
            </w:r>
          </w:p>
        </w:tc>
        <w:tc>
          <w:tcPr>
            <w:tcW w:w="676" w:type="dxa"/>
            <w:shd w:val="clear" w:color="000000" w:fill="FFD966"/>
            <w:noWrap/>
            <w:vAlign w:val="center"/>
            <w:hideMark/>
          </w:tcPr>
          <w:p w14:paraId="28AB2636"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51%</w:t>
            </w:r>
          </w:p>
        </w:tc>
        <w:tc>
          <w:tcPr>
            <w:tcW w:w="677" w:type="dxa"/>
            <w:shd w:val="clear" w:color="000000" w:fill="FF6D6D"/>
            <w:noWrap/>
            <w:vAlign w:val="center"/>
            <w:hideMark/>
          </w:tcPr>
          <w:p w14:paraId="48E5ABD3"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47%</w:t>
            </w:r>
          </w:p>
        </w:tc>
        <w:tc>
          <w:tcPr>
            <w:tcW w:w="677" w:type="dxa"/>
            <w:shd w:val="clear" w:color="000000" w:fill="FF6D6D"/>
            <w:noWrap/>
            <w:vAlign w:val="center"/>
            <w:hideMark/>
          </w:tcPr>
          <w:p w14:paraId="2DFD9F10"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45%</w:t>
            </w:r>
          </w:p>
        </w:tc>
        <w:tc>
          <w:tcPr>
            <w:tcW w:w="677" w:type="dxa"/>
            <w:shd w:val="clear" w:color="000000" w:fill="FFD966"/>
            <w:noWrap/>
            <w:vAlign w:val="center"/>
            <w:hideMark/>
          </w:tcPr>
          <w:p w14:paraId="75CBE161"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51%</w:t>
            </w:r>
          </w:p>
        </w:tc>
        <w:tc>
          <w:tcPr>
            <w:tcW w:w="626" w:type="dxa"/>
            <w:shd w:val="clear" w:color="000000" w:fill="FF6D6D"/>
            <w:noWrap/>
            <w:vAlign w:val="center"/>
            <w:hideMark/>
          </w:tcPr>
          <w:p w14:paraId="29924BC3"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44%</w:t>
            </w:r>
          </w:p>
        </w:tc>
        <w:tc>
          <w:tcPr>
            <w:tcW w:w="728" w:type="dxa"/>
            <w:shd w:val="clear" w:color="000000" w:fill="A9D08E"/>
            <w:noWrap/>
            <w:vAlign w:val="center"/>
            <w:hideMark/>
          </w:tcPr>
          <w:p w14:paraId="6C7145B0"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83%</w:t>
            </w:r>
          </w:p>
        </w:tc>
        <w:tc>
          <w:tcPr>
            <w:tcW w:w="677" w:type="dxa"/>
            <w:shd w:val="clear" w:color="000000" w:fill="A9D08E"/>
            <w:noWrap/>
            <w:vAlign w:val="center"/>
            <w:hideMark/>
          </w:tcPr>
          <w:p w14:paraId="508B6693"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75%</w:t>
            </w:r>
          </w:p>
        </w:tc>
        <w:tc>
          <w:tcPr>
            <w:tcW w:w="665" w:type="dxa"/>
            <w:shd w:val="clear" w:color="000000" w:fill="FFD966"/>
            <w:noWrap/>
            <w:vAlign w:val="center"/>
            <w:hideMark/>
          </w:tcPr>
          <w:p w14:paraId="0EEAF623"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61%</w:t>
            </w:r>
          </w:p>
        </w:tc>
        <w:tc>
          <w:tcPr>
            <w:tcW w:w="689" w:type="dxa"/>
            <w:shd w:val="clear" w:color="auto" w:fill="FFD966" w:themeFill="accent4" w:themeFillTint="99"/>
          </w:tcPr>
          <w:p w14:paraId="745DB5A2" w14:textId="1F19FA15" w:rsidR="00002560" w:rsidRPr="00090841" w:rsidRDefault="00002560" w:rsidP="00002560">
            <w:pPr>
              <w:spacing w:after="0" w:line="240" w:lineRule="auto"/>
              <w:jc w:val="center"/>
              <w:rPr>
                <w:rFonts w:ascii="Calibri" w:hAnsi="Calibri" w:cs="Calibri"/>
                <w:color w:val="000000"/>
              </w:rPr>
            </w:pPr>
            <w:r>
              <w:rPr>
                <w:rFonts w:ascii="Calibri" w:hAnsi="Calibri" w:cs="Calibri"/>
                <w:color w:val="000000"/>
              </w:rPr>
              <w:t>53%</w:t>
            </w:r>
          </w:p>
        </w:tc>
        <w:tc>
          <w:tcPr>
            <w:tcW w:w="677" w:type="dxa"/>
            <w:shd w:val="clear" w:color="auto" w:fill="FFD966" w:themeFill="accent4" w:themeFillTint="99"/>
          </w:tcPr>
          <w:p w14:paraId="79906FBF" w14:textId="429BB512" w:rsidR="00002560" w:rsidRPr="00090841" w:rsidRDefault="00002560" w:rsidP="00002560">
            <w:pPr>
              <w:spacing w:after="0" w:line="240" w:lineRule="auto"/>
              <w:jc w:val="center"/>
              <w:rPr>
                <w:rFonts w:ascii="Calibri" w:hAnsi="Calibri" w:cs="Calibri"/>
                <w:color w:val="000000"/>
              </w:rPr>
            </w:pPr>
            <w:r>
              <w:rPr>
                <w:rFonts w:ascii="Calibri" w:hAnsi="Calibri" w:cs="Calibri"/>
                <w:color w:val="000000"/>
              </w:rPr>
              <w:t>51%</w:t>
            </w:r>
          </w:p>
        </w:tc>
        <w:tc>
          <w:tcPr>
            <w:tcW w:w="704" w:type="dxa"/>
            <w:shd w:val="clear" w:color="auto" w:fill="FF6D6D"/>
          </w:tcPr>
          <w:p w14:paraId="20BD1778" w14:textId="6A7E4B47" w:rsidR="00002560" w:rsidRPr="00090841" w:rsidRDefault="00002560" w:rsidP="00002560">
            <w:pPr>
              <w:spacing w:after="0" w:line="240" w:lineRule="auto"/>
              <w:jc w:val="center"/>
              <w:rPr>
                <w:rFonts w:ascii="Calibri" w:hAnsi="Calibri" w:cs="Calibri"/>
                <w:color w:val="000000"/>
              </w:rPr>
            </w:pPr>
            <w:r>
              <w:rPr>
                <w:rFonts w:ascii="Calibri" w:hAnsi="Calibri" w:cs="Calibri"/>
                <w:color w:val="000000"/>
              </w:rPr>
              <w:t>46%</w:t>
            </w:r>
          </w:p>
        </w:tc>
      </w:tr>
      <w:tr w:rsidR="00002560" w:rsidRPr="00090841" w14:paraId="332C2E71" w14:textId="77777777" w:rsidTr="00BF6BE3">
        <w:trPr>
          <w:trHeight w:val="300"/>
          <w:jc w:val="center"/>
        </w:trPr>
        <w:tc>
          <w:tcPr>
            <w:tcW w:w="1443" w:type="dxa"/>
            <w:noWrap/>
            <w:vAlign w:val="bottom"/>
            <w:hideMark/>
          </w:tcPr>
          <w:p w14:paraId="73332A76" w14:textId="77777777" w:rsidR="00002560" w:rsidRPr="00090841" w:rsidRDefault="00002560" w:rsidP="00002560">
            <w:pPr>
              <w:spacing w:after="0" w:line="240" w:lineRule="auto"/>
              <w:rPr>
                <w:rFonts w:ascii="Calibri" w:hAnsi="Calibri" w:cs="Calibri"/>
              </w:rPr>
            </w:pPr>
            <w:r w:rsidRPr="00090841">
              <w:rPr>
                <w:rFonts w:ascii="Calibri" w:hAnsi="Calibri" w:cs="Calibri"/>
              </w:rPr>
              <w:t xml:space="preserve">Oak Park </w:t>
            </w:r>
          </w:p>
        </w:tc>
        <w:tc>
          <w:tcPr>
            <w:tcW w:w="674" w:type="dxa"/>
            <w:shd w:val="clear" w:color="FFFFFF" w:fill="A9D08E"/>
            <w:noWrap/>
            <w:vAlign w:val="center"/>
            <w:hideMark/>
          </w:tcPr>
          <w:p w14:paraId="0CF0F844"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81%</w:t>
            </w:r>
          </w:p>
        </w:tc>
        <w:tc>
          <w:tcPr>
            <w:tcW w:w="676" w:type="dxa"/>
            <w:shd w:val="clear" w:color="FFFFFF" w:fill="A9D08E"/>
            <w:noWrap/>
            <w:vAlign w:val="center"/>
            <w:hideMark/>
          </w:tcPr>
          <w:p w14:paraId="137104E0"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84%</w:t>
            </w:r>
          </w:p>
        </w:tc>
        <w:tc>
          <w:tcPr>
            <w:tcW w:w="677" w:type="dxa"/>
            <w:shd w:val="clear" w:color="FFFFFF" w:fill="FFD966"/>
            <w:noWrap/>
            <w:vAlign w:val="center"/>
            <w:hideMark/>
          </w:tcPr>
          <w:p w14:paraId="71D4B361"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62%</w:t>
            </w:r>
          </w:p>
        </w:tc>
        <w:tc>
          <w:tcPr>
            <w:tcW w:w="677" w:type="dxa"/>
            <w:shd w:val="clear" w:color="000000" w:fill="FFD966"/>
            <w:noWrap/>
            <w:vAlign w:val="center"/>
            <w:hideMark/>
          </w:tcPr>
          <w:p w14:paraId="07F27E50"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62%</w:t>
            </w:r>
          </w:p>
        </w:tc>
        <w:tc>
          <w:tcPr>
            <w:tcW w:w="677" w:type="dxa"/>
            <w:shd w:val="clear" w:color="000000" w:fill="A9D08E"/>
            <w:noWrap/>
            <w:vAlign w:val="center"/>
            <w:hideMark/>
          </w:tcPr>
          <w:p w14:paraId="7CE47017"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85%</w:t>
            </w:r>
          </w:p>
        </w:tc>
        <w:tc>
          <w:tcPr>
            <w:tcW w:w="626" w:type="dxa"/>
            <w:shd w:val="clear" w:color="000000" w:fill="FFD966"/>
            <w:noWrap/>
            <w:vAlign w:val="center"/>
            <w:hideMark/>
          </w:tcPr>
          <w:p w14:paraId="62AD28ED"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57%</w:t>
            </w:r>
          </w:p>
        </w:tc>
        <w:tc>
          <w:tcPr>
            <w:tcW w:w="728" w:type="dxa"/>
            <w:shd w:val="clear" w:color="000000" w:fill="A9D08E"/>
            <w:noWrap/>
            <w:vAlign w:val="center"/>
            <w:hideMark/>
          </w:tcPr>
          <w:p w14:paraId="2807EEA1"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74%</w:t>
            </w:r>
          </w:p>
        </w:tc>
        <w:tc>
          <w:tcPr>
            <w:tcW w:w="677" w:type="dxa"/>
            <w:shd w:val="clear" w:color="000000" w:fill="FFD966"/>
            <w:noWrap/>
            <w:vAlign w:val="center"/>
            <w:hideMark/>
          </w:tcPr>
          <w:p w14:paraId="535A6ADB"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64%</w:t>
            </w:r>
          </w:p>
        </w:tc>
        <w:tc>
          <w:tcPr>
            <w:tcW w:w="665" w:type="dxa"/>
            <w:shd w:val="clear" w:color="000000" w:fill="FF6D6D"/>
            <w:noWrap/>
            <w:vAlign w:val="center"/>
            <w:hideMark/>
          </w:tcPr>
          <w:p w14:paraId="4EC241A1" w14:textId="77777777" w:rsidR="00002560" w:rsidRPr="007832BB" w:rsidRDefault="00002560" w:rsidP="00002560">
            <w:pPr>
              <w:spacing w:after="0" w:line="240" w:lineRule="auto"/>
              <w:jc w:val="center"/>
              <w:rPr>
                <w:rFonts w:ascii="Calibri" w:hAnsi="Calibri" w:cs="Calibri"/>
                <w:bCs/>
              </w:rPr>
            </w:pPr>
            <w:r w:rsidRPr="007832BB">
              <w:rPr>
                <w:rFonts w:ascii="Calibri" w:hAnsi="Calibri" w:cs="Calibri"/>
                <w:bCs/>
              </w:rPr>
              <w:t>32%</w:t>
            </w:r>
          </w:p>
        </w:tc>
        <w:tc>
          <w:tcPr>
            <w:tcW w:w="689" w:type="dxa"/>
            <w:shd w:val="clear" w:color="auto" w:fill="FF6D6D"/>
          </w:tcPr>
          <w:p w14:paraId="14C59087" w14:textId="161175D7" w:rsidR="00002560" w:rsidRPr="00090841" w:rsidRDefault="00002560" w:rsidP="00002560">
            <w:pPr>
              <w:spacing w:after="0" w:line="240" w:lineRule="auto"/>
              <w:jc w:val="center"/>
              <w:rPr>
                <w:rFonts w:ascii="Calibri" w:hAnsi="Calibri" w:cs="Calibri"/>
                <w:color w:val="000000"/>
              </w:rPr>
            </w:pPr>
            <w:r>
              <w:rPr>
                <w:rFonts w:ascii="Calibri" w:hAnsi="Calibri" w:cs="Calibri"/>
                <w:color w:val="000000"/>
              </w:rPr>
              <w:t>46%</w:t>
            </w:r>
          </w:p>
        </w:tc>
        <w:tc>
          <w:tcPr>
            <w:tcW w:w="677" w:type="dxa"/>
            <w:shd w:val="clear" w:color="auto" w:fill="A8D08D" w:themeFill="accent6" w:themeFillTint="99"/>
          </w:tcPr>
          <w:p w14:paraId="0AC66D29" w14:textId="2744DDFA" w:rsidR="00002560" w:rsidRPr="00090841" w:rsidRDefault="00002560" w:rsidP="00002560">
            <w:pPr>
              <w:spacing w:after="0" w:line="240" w:lineRule="auto"/>
              <w:jc w:val="center"/>
              <w:rPr>
                <w:rFonts w:ascii="Calibri" w:hAnsi="Calibri" w:cs="Calibri"/>
                <w:color w:val="000000"/>
              </w:rPr>
            </w:pPr>
            <w:r>
              <w:rPr>
                <w:rFonts w:ascii="Calibri" w:hAnsi="Calibri" w:cs="Calibri"/>
                <w:color w:val="000000"/>
              </w:rPr>
              <w:t>78%</w:t>
            </w:r>
          </w:p>
        </w:tc>
        <w:tc>
          <w:tcPr>
            <w:tcW w:w="704" w:type="dxa"/>
            <w:shd w:val="clear" w:color="auto" w:fill="FFD966" w:themeFill="accent4" w:themeFillTint="99"/>
          </w:tcPr>
          <w:p w14:paraId="7CBAAE06" w14:textId="68285E0D" w:rsidR="00002560" w:rsidRPr="00090841" w:rsidRDefault="00002560" w:rsidP="00002560">
            <w:pPr>
              <w:spacing w:after="0" w:line="240" w:lineRule="auto"/>
              <w:jc w:val="center"/>
              <w:rPr>
                <w:rFonts w:ascii="Calibri" w:hAnsi="Calibri" w:cs="Calibri"/>
                <w:color w:val="000000"/>
              </w:rPr>
            </w:pPr>
            <w:r>
              <w:rPr>
                <w:rFonts w:ascii="Calibri" w:hAnsi="Calibri" w:cs="Calibri"/>
                <w:color w:val="000000"/>
              </w:rPr>
              <w:t>54%</w:t>
            </w:r>
          </w:p>
        </w:tc>
      </w:tr>
      <w:tr w:rsidR="00002560" w:rsidRPr="00090841" w14:paraId="6C6B258C" w14:textId="77777777" w:rsidTr="00BF6BE3">
        <w:trPr>
          <w:trHeight w:val="300"/>
          <w:jc w:val="center"/>
        </w:trPr>
        <w:tc>
          <w:tcPr>
            <w:tcW w:w="1443" w:type="dxa"/>
            <w:noWrap/>
            <w:vAlign w:val="center"/>
            <w:hideMark/>
          </w:tcPr>
          <w:p w14:paraId="22629D0F" w14:textId="77777777" w:rsidR="00002560" w:rsidRPr="00090841" w:rsidRDefault="00002560" w:rsidP="00002560">
            <w:pPr>
              <w:spacing w:after="0" w:line="240" w:lineRule="auto"/>
              <w:jc w:val="center"/>
              <w:rPr>
                <w:rFonts w:ascii="Calibri" w:hAnsi="Calibri" w:cs="Calibri"/>
                <w:color w:val="000000"/>
              </w:rPr>
            </w:pPr>
            <w:r>
              <w:rPr>
                <w:rFonts w:ascii="Calibri" w:hAnsi="Calibri" w:cs="Calibri"/>
                <w:color w:val="000000"/>
              </w:rPr>
              <w:t>Schools&gt;70%</w:t>
            </w:r>
          </w:p>
        </w:tc>
        <w:tc>
          <w:tcPr>
            <w:tcW w:w="674" w:type="dxa"/>
            <w:shd w:val="clear" w:color="auto" w:fill="FFD966" w:themeFill="accent4" w:themeFillTint="99"/>
            <w:noWrap/>
            <w:vAlign w:val="center"/>
            <w:hideMark/>
          </w:tcPr>
          <w:p w14:paraId="1C58914D" w14:textId="08B07396" w:rsidR="00002560" w:rsidRPr="007832BB" w:rsidRDefault="00002560" w:rsidP="00002560">
            <w:pPr>
              <w:spacing w:after="0" w:line="240" w:lineRule="auto"/>
              <w:jc w:val="center"/>
              <w:rPr>
                <w:rFonts w:ascii="Calibri" w:hAnsi="Calibri" w:cs="Calibri"/>
                <w:b/>
                <w:color w:val="000000"/>
              </w:rPr>
            </w:pPr>
            <w:r w:rsidRPr="007832BB">
              <w:rPr>
                <w:rFonts w:ascii="Calibri" w:hAnsi="Calibri" w:cs="Calibri"/>
                <w:b/>
                <w:color w:val="000000"/>
              </w:rPr>
              <w:t>57%</w:t>
            </w:r>
          </w:p>
        </w:tc>
        <w:tc>
          <w:tcPr>
            <w:tcW w:w="676" w:type="dxa"/>
            <w:shd w:val="clear" w:color="auto" w:fill="FFD966" w:themeFill="accent4" w:themeFillTint="99"/>
            <w:noWrap/>
            <w:vAlign w:val="center"/>
            <w:hideMark/>
          </w:tcPr>
          <w:p w14:paraId="60E9FFEE" w14:textId="042F06EB" w:rsidR="00002560" w:rsidRPr="007832BB" w:rsidRDefault="00002560" w:rsidP="00002560">
            <w:pPr>
              <w:spacing w:after="0" w:line="240" w:lineRule="auto"/>
              <w:jc w:val="center"/>
              <w:rPr>
                <w:rFonts w:ascii="Calibri" w:hAnsi="Calibri" w:cs="Calibri"/>
                <w:b/>
                <w:color w:val="000000"/>
              </w:rPr>
            </w:pPr>
            <w:r w:rsidRPr="007832BB">
              <w:rPr>
                <w:rFonts w:ascii="Calibri" w:hAnsi="Calibri" w:cs="Calibri"/>
                <w:b/>
                <w:color w:val="000000"/>
              </w:rPr>
              <w:t>43%</w:t>
            </w:r>
          </w:p>
        </w:tc>
        <w:tc>
          <w:tcPr>
            <w:tcW w:w="677" w:type="dxa"/>
            <w:shd w:val="clear" w:color="auto" w:fill="FFD966" w:themeFill="accent4" w:themeFillTint="99"/>
            <w:noWrap/>
            <w:vAlign w:val="center"/>
            <w:hideMark/>
          </w:tcPr>
          <w:p w14:paraId="49DC402E" w14:textId="4E6BA2AD" w:rsidR="00002560" w:rsidRPr="007832BB" w:rsidRDefault="00002560" w:rsidP="00002560">
            <w:pPr>
              <w:spacing w:after="0" w:line="240" w:lineRule="auto"/>
              <w:jc w:val="center"/>
              <w:rPr>
                <w:rFonts w:ascii="Calibri" w:hAnsi="Calibri" w:cs="Calibri"/>
                <w:b/>
                <w:color w:val="000000"/>
              </w:rPr>
            </w:pPr>
            <w:r w:rsidRPr="007832BB">
              <w:rPr>
                <w:rFonts w:ascii="Calibri" w:hAnsi="Calibri" w:cs="Calibri"/>
                <w:b/>
                <w:color w:val="000000"/>
              </w:rPr>
              <w:t>14%</w:t>
            </w:r>
          </w:p>
        </w:tc>
        <w:tc>
          <w:tcPr>
            <w:tcW w:w="677" w:type="dxa"/>
            <w:shd w:val="clear" w:color="auto" w:fill="FFD966" w:themeFill="accent4" w:themeFillTint="99"/>
            <w:noWrap/>
            <w:vAlign w:val="center"/>
            <w:hideMark/>
          </w:tcPr>
          <w:p w14:paraId="367CD23E" w14:textId="0B55A322" w:rsidR="00002560" w:rsidRPr="007832BB" w:rsidRDefault="00002560" w:rsidP="00002560">
            <w:pPr>
              <w:spacing w:after="0" w:line="240" w:lineRule="auto"/>
              <w:jc w:val="center"/>
              <w:rPr>
                <w:rFonts w:ascii="Calibri" w:hAnsi="Calibri" w:cs="Calibri"/>
                <w:b/>
                <w:color w:val="000000"/>
              </w:rPr>
            </w:pPr>
            <w:r w:rsidRPr="007832BB">
              <w:rPr>
                <w:rFonts w:ascii="Calibri" w:hAnsi="Calibri" w:cs="Calibri"/>
                <w:b/>
                <w:color w:val="000000"/>
              </w:rPr>
              <w:t>57%</w:t>
            </w:r>
          </w:p>
        </w:tc>
        <w:tc>
          <w:tcPr>
            <w:tcW w:w="677" w:type="dxa"/>
            <w:shd w:val="clear" w:color="auto" w:fill="C5E0B3" w:themeFill="accent6" w:themeFillTint="66"/>
            <w:noWrap/>
            <w:vAlign w:val="center"/>
            <w:hideMark/>
          </w:tcPr>
          <w:p w14:paraId="58C7F49C" w14:textId="38B5E828" w:rsidR="00002560" w:rsidRPr="007832BB" w:rsidRDefault="00002560" w:rsidP="00002560">
            <w:pPr>
              <w:spacing w:after="0" w:line="240" w:lineRule="auto"/>
              <w:jc w:val="center"/>
              <w:rPr>
                <w:rFonts w:ascii="Calibri" w:hAnsi="Calibri" w:cs="Calibri"/>
                <w:b/>
                <w:color w:val="000000"/>
              </w:rPr>
            </w:pPr>
            <w:r w:rsidRPr="007832BB">
              <w:rPr>
                <w:rFonts w:ascii="Calibri" w:hAnsi="Calibri" w:cs="Calibri"/>
                <w:b/>
                <w:color w:val="000000"/>
              </w:rPr>
              <w:t>71%</w:t>
            </w:r>
          </w:p>
        </w:tc>
        <w:tc>
          <w:tcPr>
            <w:tcW w:w="626" w:type="dxa"/>
            <w:shd w:val="clear" w:color="auto" w:fill="FF6D6D"/>
            <w:noWrap/>
            <w:vAlign w:val="center"/>
            <w:hideMark/>
          </w:tcPr>
          <w:p w14:paraId="3B9FEFE1" w14:textId="76DF2742" w:rsidR="00002560" w:rsidRPr="007832BB" w:rsidRDefault="00002560" w:rsidP="00002560">
            <w:pPr>
              <w:spacing w:after="0" w:line="240" w:lineRule="auto"/>
              <w:jc w:val="center"/>
              <w:rPr>
                <w:rFonts w:ascii="Calibri" w:hAnsi="Calibri" w:cs="Calibri"/>
                <w:b/>
                <w:color w:val="000000"/>
              </w:rPr>
            </w:pPr>
            <w:r w:rsidRPr="007832BB">
              <w:rPr>
                <w:rFonts w:ascii="Calibri" w:hAnsi="Calibri" w:cs="Calibri"/>
                <w:b/>
                <w:color w:val="000000"/>
              </w:rPr>
              <w:t>29%</w:t>
            </w:r>
          </w:p>
        </w:tc>
        <w:tc>
          <w:tcPr>
            <w:tcW w:w="728" w:type="dxa"/>
            <w:shd w:val="clear" w:color="auto" w:fill="C5E0B3" w:themeFill="accent6" w:themeFillTint="66"/>
            <w:noWrap/>
            <w:vAlign w:val="center"/>
            <w:hideMark/>
          </w:tcPr>
          <w:p w14:paraId="17602D0C" w14:textId="7FE54778" w:rsidR="00002560" w:rsidRPr="007832BB" w:rsidRDefault="00002560" w:rsidP="00002560">
            <w:pPr>
              <w:spacing w:after="0" w:line="240" w:lineRule="auto"/>
              <w:jc w:val="center"/>
              <w:rPr>
                <w:rFonts w:ascii="Calibri" w:hAnsi="Calibri" w:cs="Calibri"/>
                <w:b/>
                <w:color w:val="000000"/>
              </w:rPr>
            </w:pPr>
            <w:r w:rsidRPr="007832BB">
              <w:rPr>
                <w:rFonts w:ascii="Calibri" w:hAnsi="Calibri" w:cs="Calibri"/>
                <w:b/>
                <w:color w:val="000000"/>
              </w:rPr>
              <w:t>86%</w:t>
            </w:r>
          </w:p>
        </w:tc>
        <w:tc>
          <w:tcPr>
            <w:tcW w:w="677" w:type="dxa"/>
            <w:shd w:val="clear" w:color="auto" w:fill="FFD966" w:themeFill="accent4" w:themeFillTint="99"/>
            <w:noWrap/>
            <w:vAlign w:val="center"/>
            <w:hideMark/>
          </w:tcPr>
          <w:p w14:paraId="0682E15A" w14:textId="55F275CF" w:rsidR="00002560" w:rsidRPr="007832BB" w:rsidRDefault="00002560" w:rsidP="00002560">
            <w:pPr>
              <w:spacing w:after="0" w:line="240" w:lineRule="auto"/>
              <w:jc w:val="center"/>
              <w:rPr>
                <w:rFonts w:ascii="Calibri" w:hAnsi="Calibri" w:cs="Calibri"/>
                <w:b/>
                <w:color w:val="000000"/>
              </w:rPr>
            </w:pPr>
            <w:r w:rsidRPr="007832BB">
              <w:rPr>
                <w:rFonts w:ascii="Calibri" w:hAnsi="Calibri" w:cs="Calibri"/>
                <w:b/>
                <w:color w:val="000000"/>
              </w:rPr>
              <w:t>57%</w:t>
            </w:r>
          </w:p>
        </w:tc>
        <w:tc>
          <w:tcPr>
            <w:tcW w:w="665" w:type="dxa"/>
            <w:shd w:val="clear" w:color="auto" w:fill="FF6D6D"/>
            <w:noWrap/>
            <w:vAlign w:val="center"/>
            <w:hideMark/>
          </w:tcPr>
          <w:p w14:paraId="7020FEFA" w14:textId="0A40C00A" w:rsidR="00002560" w:rsidRPr="007832BB" w:rsidRDefault="00002560" w:rsidP="00002560">
            <w:pPr>
              <w:spacing w:after="0" w:line="240" w:lineRule="auto"/>
              <w:jc w:val="center"/>
              <w:rPr>
                <w:rFonts w:ascii="Calibri" w:hAnsi="Calibri" w:cs="Calibri"/>
                <w:b/>
                <w:color w:val="000000"/>
              </w:rPr>
            </w:pPr>
            <w:r w:rsidRPr="007832BB">
              <w:rPr>
                <w:rFonts w:ascii="Calibri" w:hAnsi="Calibri" w:cs="Calibri"/>
                <w:b/>
                <w:color w:val="000000"/>
              </w:rPr>
              <w:t>29%</w:t>
            </w:r>
          </w:p>
        </w:tc>
        <w:tc>
          <w:tcPr>
            <w:tcW w:w="689" w:type="dxa"/>
            <w:shd w:val="clear" w:color="auto" w:fill="FFD966" w:themeFill="accent4" w:themeFillTint="99"/>
          </w:tcPr>
          <w:p w14:paraId="0B926714" w14:textId="182084EB" w:rsidR="00002560" w:rsidRPr="007832BB" w:rsidRDefault="00002560" w:rsidP="00002560">
            <w:pPr>
              <w:spacing w:after="0" w:line="240" w:lineRule="auto"/>
              <w:jc w:val="center"/>
              <w:rPr>
                <w:rFonts w:ascii="Calibri" w:hAnsi="Calibri" w:cs="Calibri"/>
                <w:b/>
                <w:color w:val="000000"/>
              </w:rPr>
            </w:pPr>
            <w:r>
              <w:rPr>
                <w:rFonts w:ascii="Calibri" w:hAnsi="Calibri" w:cs="Calibri"/>
                <w:b/>
                <w:color w:val="000000"/>
              </w:rPr>
              <w:t>68%</w:t>
            </w:r>
          </w:p>
        </w:tc>
        <w:tc>
          <w:tcPr>
            <w:tcW w:w="677" w:type="dxa"/>
            <w:shd w:val="clear" w:color="auto" w:fill="A8D08D" w:themeFill="accent6" w:themeFillTint="99"/>
          </w:tcPr>
          <w:p w14:paraId="1B86B204" w14:textId="1CFCEAB2" w:rsidR="00002560" w:rsidRPr="007832BB" w:rsidRDefault="00002560" w:rsidP="00002560">
            <w:pPr>
              <w:spacing w:after="0" w:line="240" w:lineRule="auto"/>
              <w:jc w:val="center"/>
              <w:rPr>
                <w:rFonts w:ascii="Calibri" w:hAnsi="Calibri" w:cs="Calibri"/>
                <w:b/>
                <w:color w:val="000000"/>
              </w:rPr>
            </w:pPr>
            <w:r>
              <w:rPr>
                <w:rFonts w:ascii="Calibri" w:hAnsi="Calibri" w:cs="Calibri"/>
                <w:b/>
                <w:color w:val="000000"/>
              </w:rPr>
              <w:t>72%</w:t>
            </w:r>
          </w:p>
        </w:tc>
        <w:tc>
          <w:tcPr>
            <w:tcW w:w="704" w:type="dxa"/>
            <w:shd w:val="clear" w:color="auto" w:fill="FF6D6D"/>
          </w:tcPr>
          <w:p w14:paraId="3C6B5F2C" w14:textId="49638DE8" w:rsidR="00002560" w:rsidRPr="007832BB" w:rsidRDefault="00002560" w:rsidP="00002560">
            <w:pPr>
              <w:spacing w:after="0" w:line="240" w:lineRule="auto"/>
              <w:jc w:val="center"/>
              <w:rPr>
                <w:rFonts w:ascii="Calibri" w:hAnsi="Calibri" w:cs="Calibri"/>
                <w:b/>
                <w:color w:val="000000"/>
              </w:rPr>
            </w:pPr>
            <w:r>
              <w:rPr>
                <w:rFonts w:ascii="Calibri" w:hAnsi="Calibri" w:cs="Calibri"/>
                <w:b/>
                <w:color w:val="000000"/>
              </w:rPr>
              <w:t>39%</w:t>
            </w:r>
          </w:p>
        </w:tc>
      </w:tr>
    </w:tbl>
    <w:p w14:paraId="798AB352" w14:textId="6FA037CB" w:rsidR="00AE5EAA" w:rsidRDefault="00AE5EAA" w:rsidP="00AE5EAA">
      <w:pPr>
        <w:spacing w:after="0" w:line="240" w:lineRule="auto"/>
      </w:pPr>
    </w:p>
    <w:p w14:paraId="67B6FB01" w14:textId="4595B99A" w:rsidR="00975D1F" w:rsidRDefault="000C1F72" w:rsidP="00AE5EAA">
      <w:pPr>
        <w:spacing w:after="0" w:line="240" w:lineRule="auto"/>
        <w:rPr>
          <w:rFonts w:ascii="Calibri" w:hAnsi="Calibri"/>
          <w:color w:val="000000"/>
          <w:szCs w:val="24"/>
        </w:rPr>
      </w:pPr>
      <w:r>
        <w:rPr>
          <w:rFonts w:ascii="Calibri" w:hAnsi="Calibri"/>
          <w:color w:val="000000"/>
          <w:szCs w:val="24"/>
        </w:rPr>
        <w:t xml:space="preserve">The number of IYS surveys completed by grantee and overall are presented in Table 1.3 below. Once again, there was a decrease in the total number of surveys completed in 2020 for 3 of the 4 communities. However, all communities </w:t>
      </w:r>
      <w:r w:rsidR="00C7610E">
        <w:rPr>
          <w:rFonts w:ascii="Calibri" w:hAnsi="Calibri"/>
          <w:color w:val="000000"/>
          <w:szCs w:val="24"/>
        </w:rPr>
        <w:t xml:space="preserve">surveyed 68% or greater of their 2018 total. </w:t>
      </w:r>
    </w:p>
    <w:p w14:paraId="2D1FF201" w14:textId="77777777" w:rsidR="00975D1F" w:rsidRDefault="00975D1F" w:rsidP="00AE5EAA">
      <w:pPr>
        <w:spacing w:after="0" w:line="240" w:lineRule="auto"/>
        <w:rPr>
          <w:rFonts w:ascii="Calibri" w:hAnsi="Calibri"/>
          <w:color w:val="000000"/>
          <w:szCs w:val="24"/>
        </w:rPr>
      </w:pPr>
    </w:p>
    <w:p w14:paraId="09AB0295" w14:textId="19EDE8C7" w:rsidR="00824CBD" w:rsidRPr="00824CBD" w:rsidRDefault="00824CBD" w:rsidP="00824CBD">
      <w:pPr>
        <w:spacing w:line="240" w:lineRule="auto"/>
        <w:jc w:val="center"/>
        <w:rPr>
          <w:rFonts w:ascii="Calibri" w:hAnsi="Calibri"/>
          <w:b/>
          <w:color w:val="FF0000"/>
          <w:sz w:val="24"/>
          <w:szCs w:val="24"/>
        </w:rPr>
      </w:pPr>
      <w:r>
        <w:rPr>
          <w:rFonts w:ascii="Calibri" w:hAnsi="Calibri"/>
          <w:b/>
          <w:color w:val="000000"/>
          <w:sz w:val="24"/>
          <w:szCs w:val="24"/>
        </w:rPr>
        <w:t xml:space="preserve">TABLE </w:t>
      </w:r>
      <w:r w:rsidR="000C1F72">
        <w:rPr>
          <w:rFonts w:ascii="Calibri" w:hAnsi="Calibri"/>
          <w:b/>
          <w:color w:val="000000"/>
          <w:sz w:val="24"/>
          <w:szCs w:val="24"/>
        </w:rPr>
        <w:t>1.3</w:t>
      </w:r>
    </w:p>
    <w:p w14:paraId="008EB3E6" w14:textId="0D83EA81" w:rsidR="00824CBD" w:rsidRPr="00824CBD" w:rsidRDefault="00824CBD" w:rsidP="00824CBD">
      <w:pPr>
        <w:spacing w:line="240" w:lineRule="auto"/>
        <w:jc w:val="center"/>
        <w:rPr>
          <w:rFonts w:ascii="Calibri" w:hAnsi="Calibri"/>
          <w:b/>
          <w:color w:val="FF0000"/>
          <w:sz w:val="24"/>
          <w:szCs w:val="24"/>
        </w:rPr>
      </w:pPr>
      <w:r w:rsidRPr="00F13599">
        <w:rPr>
          <w:rFonts w:ascii="Calibri" w:hAnsi="Calibri"/>
          <w:b/>
          <w:color w:val="000000"/>
          <w:sz w:val="24"/>
          <w:szCs w:val="24"/>
        </w:rPr>
        <w:t>NUMBER OF IYS SURVEYS COMPLETED, BY COMMUNITY, ALL GRADES, 201</w:t>
      </w:r>
      <w:r w:rsidR="00164FB5">
        <w:rPr>
          <w:rFonts w:ascii="Calibri" w:hAnsi="Calibri"/>
          <w:b/>
          <w:color w:val="000000"/>
          <w:sz w:val="24"/>
          <w:szCs w:val="24"/>
        </w:rPr>
        <w:t>8</w:t>
      </w:r>
      <w:r w:rsidRPr="00F13599">
        <w:rPr>
          <w:rFonts w:ascii="Calibri" w:hAnsi="Calibri"/>
          <w:b/>
          <w:color w:val="000000"/>
          <w:sz w:val="24"/>
          <w:szCs w:val="24"/>
        </w:rPr>
        <w:t>-2</w:t>
      </w:r>
      <w:r w:rsidRPr="00164FB5">
        <w:rPr>
          <w:rFonts w:ascii="Calibri" w:hAnsi="Calibri"/>
          <w:b/>
          <w:sz w:val="24"/>
          <w:szCs w:val="24"/>
        </w:rPr>
        <w:t>020</w:t>
      </w:r>
    </w:p>
    <w:tbl>
      <w:tblPr>
        <w:tblStyle w:val="TableGrid"/>
        <w:tblW w:w="0" w:type="auto"/>
        <w:tblInd w:w="0" w:type="dxa"/>
        <w:tblLook w:val="04A0" w:firstRow="1" w:lastRow="0" w:firstColumn="1" w:lastColumn="0" w:noHBand="0" w:noVBand="1"/>
      </w:tblPr>
      <w:tblGrid>
        <w:gridCol w:w="2065"/>
        <w:gridCol w:w="1800"/>
        <w:gridCol w:w="1890"/>
        <w:gridCol w:w="1800"/>
        <w:gridCol w:w="1795"/>
      </w:tblGrid>
      <w:tr w:rsidR="00824CBD" w:rsidRPr="002B44F5" w14:paraId="50ABC358" w14:textId="77777777" w:rsidTr="004F7213">
        <w:trPr>
          <w:trHeight w:val="300"/>
        </w:trPr>
        <w:tc>
          <w:tcPr>
            <w:tcW w:w="2065" w:type="dxa"/>
            <w:shd w:val="clear" w:color="auto" w:fill="5B9BD5" w:themeFill="accent5"/>
            <w:noWrap/>
            <w:vAlign w:val="center"/>
            <w:hideMark/>
          </w:tcPr>
          <w:p w14:paraId="7D9820A5" w14:textId="552E6123" w:rsidR="00824CBD" w:rsidRPr="000C36FA" w:rsidRDefault="00824CBD" w:rsidP="004F7213">
            <w:pPr>
              <w:jc w:val="center"/>
              <w:rPr>
                <w:rFonts w:ascii="Calibri" w:hAnsi="Calibri" w:cs="Calibri"/>
                <w:b/>
                <w:bCs/>
                <w:color w:val="FFFFFF" w:themeColor="background1"/>
              </w:rPr>
            </w:pPr>
            <w:r w:rsidRPr="000C36FA">
              <w:rPr>
                <w:rFonts w:ascii="Calibri" w:hAnsi="Calibri" w:cs="Calibri"/>
                <w:b/>
                <w:bCs/>
                <w:color w:val="FFFFFF" w:themeColor="background1"/>
              </w:rPr>
              <w:t>Grantee</w:t>
            </w:r>
          </w:p>
        </w:tc>
        <w:tc>
          <w:tcPr>
            <w:tcW w:w="1800" w:type="dxa"/>
            <w:shd w:val="clear" w:color="auto" w:fill="5B9BD5" w:themeFill="accent5"/>
            <w:noWrap/>
            <w:vAlign w:val="center"/>
            <w:hideMark/>
          </w:tcPr>
          <w:p w14:paraId="50294C95" w14:textId="71D04285" w:rsidR="00824CBD" w:rsidRPr="000C36FA" w:rsidRDefault="00824CBD" w:rsidP="004F7213">
            <w:pPr>
              <w:jc w:val="center"/>
              <w:rPr>
                <w:rFonts w:ascii="Calibri" w:hAnsi="Calibri" w:cs="Calibri"/>
                <w:b/>
                <w:bCs/>
                <w:color w:val="FFFFFF" w:themeColor="background1"/>
              </w:rPr>
            </w:pPr>
            <w:r w:rsidRPr="000C36FA">
              <w:rPr>
                <w:rFonts w:ascii="Calibri" w:hAnsi="Calibri" w:cs="Calibri"/>
                <w:b/>
                <w:bCs/>
                <w:color w:val="FFFFFF" w:themeColor="background1"/>
              </w:rPr>
              <w:t>Total Number of Students in 201</w:t>
            </w:r>
            <w:r w:rsidR="00164FB5">
              <w:rPr>
                <w:rFonts w:ascii="Calibri" w:hAnsi="Calibri" w:cs="Calibri"/>
                <w:b/>
                <w:bCs/>
                <w:color w:val="FFFFFF" w:themeColor="background1"/>
              </w:rPr>
              <w:t>8</w:t>
            </w:r>
          </w:p>
        </w:tc>
        <w:tc>
          <w:tcPr>
            <w:tcW w:w="1890" w:type="dxa"/>
            <w:shd w:val="clear" w:color="auto" w:fill="5B9BD5" w:themeFill="accent5"/>
            <w:noWrap/>
            <w:vAlign w:val="center"/>
            <w:hideMark/>
          </w:tcPr>
          <w:p w14:paraId="5B6BD20F" w14:textId="3C360C00" w:rsidR="00824CBD" w:rsidRPr="000C36FA" w:rsidRDefault="00824CBD" w:rsidP="004F7213">
            <w:pPr>
              <w:jc w:val="center"/>
              <w:rPr>
                <w:rFonts w:ascii="Calibri" w:hAnsi="Calibri" w:cs="Calibri"/>
                <w:b/>
                <w:bCs/>
                <w:color w:val="FFFFFF" w:themeColor="background1"/>
              </w:rPr>
            </w:pPr>
            <w:r w:rsidRPr="000C36FA">
              <w:rPr>
                <w:rFonts w:ascii="Calibri" w:hAnsi="Calibri" w:cs="Calibri"/>
                <w:b/>
                <w:bCs/>
                <w:color w:val="FFFFFF" w:themeColor="background1"/>
              </w:rPr>
              <w:t>Total Number of Students in 20</w:t>
            </w:r>
            <w:r w:rsidR="00164FB5">
              <w:rPr>
                <w:rFonts w:ascii="Calibri" w:hAnsi="Calibri" w:cs="Calibri"/>
                <w:b/>
                <w:bCs/>
                <w:color w:val="FFFFFF" w:themeColor="background1"/>
              </w:rPr>
              <w:t>20</w:t>
            </w:r>
          </w:p>
        </w:tc>
        <w:tc>
          <w:tcPr>
            <w:tcW w:w="1800" w:type="dxa"/>
            <w:shd w:val="clear" w:color="auto" w:fill="5B9BD5" w:themeFill="accent5"/>
            <w:vAlign w:val="center"/>
          </w:tcPr>
          <w:p w14:paraId="526672CC" w14:textId="4BCA2DB8" w:rsidR="00824CBD" w:rsidRPr="000C36FA" w:rsidRDefault="00824CBD" w:rsidP="004F7213">
            <w:pPr>
              <w:jc w:val="center"/>
              <w:rPr>
                <w:rFonts w:ascii="Calibri" w:hAnsi="Calibri" w:cs="Calibri"/>
                <w:b/>
                <w:bCs/>
                <w:color w:val="FFFFFF" w:themeColor="background1"/>
              </w:rPr>
            </w:pPr>
            <w:r w:rsidRPr="000C36FA">
              <w:rPr>
                <w:rFonts w:ascii="Calibri" w:hAnsi="Calibri" w:cs="Calibri"/>
                <w:b/>
                <w:bCs/>
                <w:color w:val="FFFFFF" w:themeColor="background1"/>
              </w:rPr>
              <w:t>Change from 201</w:t>
            </w:r>
            <w:r w:rsidR="00164FB5">
              <w:rPr>
                <w:rFonts w:ascii="Calibri" w:hAnsi="Calibri" w:cs="Calibri"/>
                <w:b/>
                <w:bCs/>
                <w:color w:val="FFFFFF" w:themeColor="background1"/>
              </w:rPr>
              <w:t>8</w:t>
            </w:r>
            <w:r w:rsidRPr="000C36FA">
              <w:rPr>
                <w:rFonts w:ascii="Calibri" w:hAnsi="Calibri" w:cs="Calibri"/>
                <w:b/>
                <w:bCs/>
                <w:color w:val="FFFFFF" w:themeColor="background1"/>
              </w:rPr>
              <w:t xml:space="preserve"> to 20</w:t>
            </w:r>
            <w:r w:rsidR="00164FB5">
              <w:rPr>
                <w:rFonts w:ascii="Calibri" w:hAnsi="Calibri" w:cs="Calibri"/>
                <w:b/>
                <w:bCs/>
                <w:color w:val="FFFFFF" w:themeColor="background1"/>
              </w:rPr>
              <w:t>20</w:t>
            </w:r>
          </w:p>
        </w:tc>
        <w:tc>
          <w:tcPr>
            <w:tcW w:w="1795" w:type="dxa"/>
            <w:shd w:val="clear" w:color="auto" w:fill="5B9BD5" w:themeFill="accent5"/>
            <w:vAlign w:val="center"/>
          </w:tcPr>
          <w:p w14:paraId="3F4EE4C9" w14:textId="7248C200" w:rsidR="00824CBD" w:rsidRPr="000C36FA" w:rsidRDefault="00824CBD" w:rsidP="004F7213">
            <w:pPr>
              <w:jc w:val="center"/>
              <w:rPr>
                <w:rFonts w:ascii="Calibri" w:hAnsi="Calibri" w:cs="Calibri"/>
                <w:b/>
                <w:bCs/>
                <w:color w:val="FFFFFF" w:themeColor="background1"/>
              </w:rPr>
            </w:pPr>
            <w:r w:rsidRPr="000C36FA">
              <w:rPr>
                <w:rFonts w:ascii="Calibri" w:hAnsi="Calibri" w:cs="Calibri"/>
                <w:b/>
                <w:bCs/>
                <w:color w:val="FFFFFF" w:themeColor="background1"/>
              </w:rPr>
              <w:t>Percent difference from 201</w:t>
            </w:r>
            <w:r w:rsidR="00164FB5">
              <w:rPr>
                <w:rFonts w:ascii="Calibri" w:hAnsi="Calibri" w:cs="Calibri"/>
                <w:b/>
                <w:bCs/>
                <w:color w:val="FFFFFF" w:themeColor="background1"/>
              </w:rPr>
              <w:t>8</w:t>
            </w:r>
            <w:r w:rsidRPr="000C36FA">
              <w:rPr>
                <w:rFonts w:ascii="Calibri" w:hAnsi="Calibri" w:cs="Calibri"/>
                <w:b/>
                <w:bCs/>
                <w:color w:val="FFFFFF" w:themeColor="background1"/>
              </w:rPr>
              <w:t xml:space="preserve"> to 20</w:t>
            </w:r>
            <w:r w:rsidR="00164FB5">
              <w:rPr>
                <w:rFonts w:ascii="Calibri" w:hAnsi="Calibri" w:cs="Calibri"/>
                <w:b/>
                <w:bCs/>
                <w:color w:val="FFFFFF" w:themeColor="background1"/>
              </w:rPr>
              <w:t>20</w:t>
            </w:r>
          </w:p>
        </w:tc>
      </w:tr>
      <w:tr w:rsidR="00164FB5" w:rsidRPr="002B44F5" w14:paraId="04CEAC04" w14:textId="77777777" w:rsidTr="00164FB5">
        <w:trPr>
          <w:trHeight w:val="300"/>
        </w:trPr>
        <w:tc>
          <w:tcPr>
            <w:tcW w:w="2065" w:type="dxa"/>
            <w:noWrap/>
            <w:vAlign w:val="center"/>
            <w:hideMark/>
          </w:tcPr>
          <w:p w14:paraId="6CC5666B" w14:textId="77777777" w:rsidR="00164FB5" w:rsidRPr="002B44F5" w:rsidRDefault="00164FB5" w:rsidP="00164FB5">
            <w:pPr>
              <w:rPr>
                <w:rFonts w:ascii="Calibri" w:hAnsi="Calibri" w:cs="Calibri"/>
                <w:color w:val="000000"/>
              </w:rPr>
            </w:pPr>
            <w:r w:rsidRPr="002B44F5">
              <w:rPr>
                <w:rFonts w:ascii="Calibri" w:hAnsi="Calibri" w:cs="Calibri"/>
                <w:color w:val="000000"/>
              </w:rPr>
              <w:t xml:space="preserve">FHN </w:t>
            </w:r>
          </w:p>
        </w:tc>
        <w:tc>
          <w:tcPr>
            <w:tcW w:w="1800" w:type="dxa"/>
            <w:noWrap/>
            <w:vAlign w:val="center"/>
          </w:tcPr>
          <w:p w14:paraId="6BF711D3" w14:textId="75A84334" w:rsidR="00164FB5" w:rsidRPr="002B44F5" w:rsidRDefault="00164FB5" w:rsidP="00164FB5">
            <w:pPr>
              <w:jc w:val="center"/>
              <w:rPr>
                <w:rFonts w:ascii="Calibri" w:hAnsi="Calibri" w:cs="Calibri"/>
                <w:color w:val="000000"/>
              </w:rPr>
            </w:pPr>
            <w:r w:rsidRPr="002B44F5">
              <w:rPr>
                <w:rFonts w:ascii="Calibri" w:hAnsi="Calibri" w:cs="Calibri"/>
                <w:color w:val="000000"/>
              </w:rPr>
              <w:t>517</w:t>
            </w:r>
          </w:p>
        </w:tc>
        <w:tc>
          <w:tcPr>
            <w:tcW w:w="1890" w:type="dxa"/>
            <w:noWrap/>
            <w:vAlign w:val="center"/>
          </w:tcPr>
          <w:p w14:paraId="0073CEB5" w14:textId="4AAC40E2" w:rsidR="00164FB5" w:rsidRPr="002B44F5" w:rsidRDefault="000C1F72" w:rsidP="00164FB5">
            <w:pPr>
              <w:jc w:val="center"/>
              <w:rPr>
                <w:rFonts w:ascii="Calibri" w:hAnsi="Calibri" w:cs="Calibri"/>
                <w:color w:val="000000"/>
              </w:rPr>
            </w:pPr>
            <w:r>
              <w:rPr>
                <w:rFonts w:ascii="Calibri" w:hAnsi="Calibri" w:cs="Calibri"/>
                <w:color w:val="000000"/>
              </w:rPr>
              <w:t>435</w:t>
            </w:r>
          </w:p>
        </w:tc>
        <w:tc>
          <w:tcPr>
            <w:tcW w:w="1800" w:type="dxa"/>
            <w:vAlign w:val="center"/>
          </w:tcPr>
          <w:p w14:paraId="75CD9D63" w14:textId="2C5FE3D5" w:rsidR="00164FB5" w:rsidRPr="00A42E0B" w:rsidRDefault="000C1F72" w:rsidP="00164FB5">
            <w:pPr>
              <w:jc w:val="center"/>
            </w:pPr>
            <w:r>
              <w:t>-82</w:t>
            </w:r>
          </w:p>
        </w:tc>
        <w:tc>
          <w:tcPr>
            <w:tcW w:w="1795" w:type="dxa"/>
            <w:vAlign w:val="center"/>
          </w:tcPr>
          <w:p w14:paraId="6C1BE28A" w14:textId="3A326C60" w:rsidR="00164FB5" w:rsidRPr="00A42E0B" w:rsidRDefault="000C1F72" w:rsidP="00164FB5">
            <w:pPr>
              <w:jc w:val="center"/>
            </w:pPr>
            <w:r>
              <w:t>84%</w:t>
            </w:r>
          </w:p>
        </w:tc>
      </w:tr>
      <w:tr w:rsidR="00164FB5" w:rsidRPr="002B44F5" w14:paraId="12FB1EB1" w14:textId="77777777" w:rsidTr="00164FB5">
        <w:trPr>
          <w:trHeight w:val="300"/>
        </w:trPr>
        <w:tc>
          <w:tcPr>
            <w:tcW w:w="2065" w:type="dxa"/>
            <w:noWrap/>
            <w:vAlign w:val="center"/>
            <w:hideMark/>
          </w:tcPr>
          <w:p w14:paraId="25A891AF" w14:textId="77777777" w:rsidR="00164FB5" w:rsidRPr="002B44F5" w:rsidRDefault="00164FB5" w:rsidP="00164FB5">
            <w:pPr>
              <w:rPr>
                <w:rFonts w:ascii="Calibri" w:hAnsi="Calibri" w:cs="Calibri"/>
                <w:color w:val="000000"/>
              </w:rPr>
            </w:pPr>
            <w:r>
              <w:rPr>
                <w:rFonts w:ascii="Calibri" w:hAnsi="Calibri" w:cs="Calibri"/>
                <w:color w:val="000000"/>
              </w:rPr>
              <w:t>IKAN</w:t>
            </w:r>
          </w:p>
        </w:tc>
        <w:tc>
          <w:tcPr>
            <w:tcW w:w="1800" w:type="dxa"/>
            <w:noWrap/>
            <w:vAlign w:val="center"/>
          </w:tcPr>
          <w:p w14:paraId="4EE9AFDA" w14:textId="1C1509EB" w:rsidR="00164FB5" w:rsidRPr="002B44F5" w:rsidRDefault="00164FB5" w:rsidP="00164FB5">
            <w:pPr>
              <w:jc w:val="center"/>
              <w:rPr>
                <w:rFonts w:ascii="Calibri" w:hAnsi="Calibri" w:cs="Calibri"/>
                <w:color w:val="000000"/>
              </w:rPr>
            </w:pPr>
            <w:r w:rsidRPr="002B44F5">
              <w:rPr>
                <w:rFonts w:ascii="Calibri" w:hAnsi="Calibri" w:cs="Calibri"/>
                <w:color w:val="000000"/>
              </w:rPr>
              <w:t>786</w:t>
            </w:r>
          </w:p>
        </w:tc>
        <w:tc>
          <w:tcPr>
            <w:tcW w:w="1890" w:type="dxa"/>
            <w:noWrap/>
            <w:vAlign w:val="center"/>
          </w:tcPr>
          <w:p w14:paraId="760C30C2" w14:textId="41473418" w:rsidR="00164FB5" w:rsidRPr="002B44F5" w:rsidRDefault="000C1F72" w:rsidP="00164FB5">
            <w:pPr>
              <w:jc w:val="center"/>
              <w:rPr>
                <w:rFonts w:ascii="Calibri" w:hAnsi="Calibri" w:cs="Calibri"/>
                <w:color w:val="000000"/>
              </w:rPr>
            </w:pPr>
            <w:r>
              <w:rPr>
                <w:rFonts w:ascii="Calibri" w:hAnsi="Calibri" w:cs="Calibri"/>
                <w:color w:val="000000"/>
              </w:rPr>
              <w:t>646</w:t>
            </w:r>
          </w:p>
        </w:tc>
        <w:tc>
          <w:tcPr>
            <w:tcW w:w="1800" w:type="dxa"/>
            <w:vAlign w:val="center"/>
          </w:tcPr>
          <w:p w14:paraId="4CB77843" w14:textId="7B5FD600" w:rsidR="00164FB5" w:rsidRPr="00A42E0B" w:rsidRDefault="000C1F72" w:rsidP="00164FB5">
            <w:pPr>
              <w:jc w:val="center"/>
            </w:pPr>
            <w:r>
              <w:t>-140</w:t>
            </w:r>
          </w:p>
        </w:tc>
        <w:tc>
          <w:tcPr>
            <w:tcW w:w="1795" w:type="dxa"/>
            <w:vAlign w:val="center"/>
          </w:tcPr>
          <w:p w14:paraId="358D90DC" w14:textId="1354F68F" w:rsidR="00164FB5" w:rsidRPr="00A42E0B" w:rsidRDefault="000C1F72" w:rsidP="00164FB5">
            <w:pPr>
              <w:jc w:val="center"/>
            </w:pPr>
            <w:r>
              <w:t>82%</w:t>
            </w:r>
          </w:p>
        </w:tc>
      </w:tr>
      <w:tr w:rsidR="00164FB5" w:rsidRPr="002B44F5" w14:paraId="380A67FF" w14:textId="77777777" w:rsidTr="00164FB5">
        <w:trPr>
          <w:trHeight w:val="300"/>
        </w:trPr>
        <w:tc>
          <w:tcPr>
            <w:tcW w:w="2065" w:type="dxa"/>
            <w:noWrap/>
            <w:vAlign w:val="center"/>
            <w:hideMark/>
          </w:tcPr>
          <w:p w14:paraId="46D52CD0" w14:textId="77777777" w:rsidR="00164FB5" w:rsidRPr="002B44F5" w:rsidRDefault="00164FB5" w:rsidP="00164FB5">
            <w:pPr>
              <w:rPr>
                <w:rFonts w:ascii="Calibri" w:hAnsi="Calibri" w:cs="Calibri"/>
                <w:color w:val="000000"/>
              </w:rPr>
            </w:pPr>
            <w:r w:rsidRPr="002B44F5">
              <w:rPr>
                <w:rFonts w:ascii="Calibri" w:hAnsi="Calibri" w:cs="Calibri"/>
                <w:color w:val="000000"/>
              </w:rPr>
              <w:t>Kenneth YC</w:t>
            </w:r>
          </w:p>
        </w:tc>
        <w:tc>
          <w:tcPr>
            <w:tcW w:w="1800" w:type="dxa"/>
            <w:noWrap/>
            <w:vAlign w:val="center"/>
          </w:tcPr>
          <w:p w14:paraId="7B251075" w14:textId="6E2A3F0E" w:rsidR="00164FB5" w:rsidRPr="002B44F5" w:rsidRDefault="00164FB5" w:rsidP="00164FB5">
            <w:pPr>
              <w:jc w:val="center"/>
              <w:rPr>
                <w:rFonts w:ascii="Calibri" w:hAnsi="Calibri" w:cs="Calibri"/>
                <w:color w:val="000000"/>
              </w:rPr>
            </w:pPr>
            <w:r w:rsidRPr="002B44F5">
              <w:rPr>
                <w:rFonts w:ascii="Calibri" w:hAnsi="Calibri" w:cs="Calibri"/>
                <w:color w:val="000000"/>
              </w:rPr>
              <w:t>6</w:t>
            </w:r>
            <w:r>
              <w:rPr>
                <w:rFonts w:ascii="Calibri" w:hAnsi="Calibri" w:cs="Calibri"/>
                <w:color w:val="000000"/>
              </w:rPr>
              <w:t>,</w:t>
            </w:r>
            <w:r w:rsidRPr="002B44F5">
              <w:rPr>
                <w:rFonts w:ascii="Calibri" w:hAnsi="Calibri" w:cs="Calibri"/>
                <w:color w:val="000000"/>
              </w:rPr>
              <w:t>312</w:t>
            </w:r>
          </w:p>
        </w:tc>
        <w:tc>
          <w:tcPr>
            <w:tcW w:w="1890" w:type="dxa"/>
            <w:noWrap/>
            <w:vAlign w:val="center"/>
          </w:tcPr>
          <w:p w14:paraId="57F56418" w14:textId="301849D2" w:rsidR="00164FB5" w:rsidRPr="002B44F5" w:rsidRDefault="000C1F72" w:rsidP="00164FB5">
            <w:pPr>
              <w:jc w:val="center"/>
              <w:rPr>
                <w:rFonts w:ascii="Calibri" w:hAnsi="Calibri" w:cs="Calibri"/>
                <w:color w:val="000000"/>
              </w:rPr>
            </w:pPr>
            <w:r>
              <w:rPr>
                <w:rFonts w:ascii="Calibri" w:hAnsi="Calibri" w:cs="Calibri"/>
                <w:color w:val="000000"/>
              </w:rPr>
              <w:t>4,298</w:t>
            </w:r>
          </w:p>
        </w:tc>
        <w:tc>
          <w:tcPr>
            <w:tcW w:w="1800" w:type="dxa"/>
            <w:vAlign w:val="center"/>
          </w:tcPr>
          <w:p w14:paraId="7C0DD5D7" w14:textId="773FCA63" w:rsidR="00164FB5" w:rsidRPr="00A42E0B" w:rsidRDefault="000C1F72" w:rsidP="00164FB5">
            <w:pPr>
              <w:jc w:val="center"/>
            </w:pPr>
            <w:r>
              <w:t>-2014</w:t>
            </w:r>
          </w:p>
        </w:tc>
        <w:tc>
          <w:tcPr>
            <w:tcW w:w="1795" w:type="dxa"/>
            <w:vAlign w:val="center"/>
          </w:tcPr>
          <w:p w14:paraId="39D1933D" w14:textId="48EDCA4D" w:rsidR="00164FB5" w:rsidRPr="00A42E0B" w:rsidRDefault="000C1F72" w:rsidP="00164FB5">
            <w:pPr>
              <w:jc w:val="center"/>
            </w:pPr>
            <w:r>
              <w:t>68%</w:t>
            </w:r>
          </w:p>
        </w:tc>
      </w:tr>
      <w:tr w:rsidR="00164FB5" w:rsidRPr="002B44F5" w14:paraId="0995E7DC" w14:textId="77777777" w:rsidTr="00164FB5">
        <w:trPr>
          <w:trHeight w:val="300"/>
        </w:trPr>
        <w:tc>
          <w:tcPr>
            <w:tcW w:w="2065" w:type="dxa"/>
            <w:noWrap/>
            <w:vAlign w:val="center"/>
            <w:hideMark/>
          </w:tcPr>
          <w:p w14:paraId="02447D81" w14:textId="7869B46E" w:rsidR="00164FB5" w:rsidRPr="002B44F5" w:rsidRDefault="00164FB5" w:rsidP="00164FB5">
            <w:pPr>
              <w:rPr>
                <w:rFonts w:ascii="Calibri" w:hAnsi="Calibri" w:cs="Calibri"/>
                <w:color w:val="000000"/>
              </w:rPr>
            </w:pPr>
            <w:r w:rsidRPr="002B44F5">
              <w:rPr>
                <w:rFonts w:ascii="Calibri" w:hAnsi="Calibri" w:cs="Calibri"/>
                <w:color w:val="000000"/>
              </w:rPr>
              <w:t xml:space="preserve">Oak Park </w:t>
            </w:r>
          </w:p>
        </w:tc>
        <w:tc>
          <w:tcPr>
            <w:tcW w:w="1800" w:type="dxa"/>
            <w:noWrap/>
            <w:vAlign w:val="center"/>
          </w:tcPr>
          <w:p w14:paraId="188F6581" w14:textId="65C1EF40" w:rsidR="00164FB5" w:rsidRPr="002B44F5" w:rsidRDefault="00164FB5" w:rsidP="00164FB5">
            <w:pPr>
              <w:jc w:val="center"/>
              <w:rPr>
                <w:rFonts w:ascii="Calibri" w:hAnsi="Calibri" w:cs="Calibri"/>
                <w:color w:val="000000"/>
              </w:rPr>
            </w:pPr>
            <w:r w:rsidRPr="002B44F5">
              <w:rPr>
                <w:rFonts w:ascii="Calibri" w:hAnsi="Calibri" w:cs="Calibri"/>
                <w:color w:val="000000"/>
              </w:rPr>
              <w:t>1</w:t>
            </w:r>
            <w:r>
              <w:rPr>
                <w:rFonts w:ascii="Calibri" w:hAnsi="Calibri" w:cs="Calibri"/>
                <w:color w:val="000000"/>
              </w:rPr>
              <w:t>,</w:t>
            </w:r>
            <w:r w:rsidRPr="002B44F5">
              <w:rPr>
                <w:rFonts w:ascii="Calibri" w:hAnsi="Calibri" w:cs="Calibri"/>
                <w:color w:val="000000"/>
              </w:rPr>
              <w:t>513</w:t>
            </w:r>
          </w:p>
        </w:tc>
        <w:tc>
          <w:tcPr>
            <w:tcW w:w="1890" w:type="dxa"/>
            <w:noWrap/>
            <w:vAlign w:val="center"/>
          </w:tcPr>
          <w:p w14:paraId="5035BCB6" w14:textId="48FDCDF3" w:rsidR="00164FB5" w:rsidRPr="002B44F5" w:rsidRDefault="000C1F72" w:rsidP="00164FB5">
            <w:pPr>
              <w:jc w:val="center"/>
              <w:rPr>
                <w:rFonts w:ascii="Calibri" w:hAnsi="Calibri" w:cs="Calibri"/>
                <w:color w:val="000000"/>
              </w:rPr>
            </w:pPr>
            <w:r>
              <w:rPr>
                <w:rFonts w:ascii="Calibri" w:hAnsi="Calibri" w:cs="Calibri"/>
                <w:color w:val="000000"/>
              </w:rPr>
              <w:t>1,594</w:t>
            </w:r>
          </w:p>
        </w:tc>
        <w:tc>
          <w:tcPr>
            <w:tcW w:w="1800" w:type="dxa"/>
            <w:vAlign w:val="center"/>
          </w:tcPr>
          <w:p w14:paraId="38958176" w14:textId="1D2F7356" w:rsidR="00164FB5" w:rsidRPr="00A42E0B" w:rsidRDefault="000C1F72" w:rsidP="00164FB5">
            <w:pPr>
              <w:jc w:val="center"/>
            </w:pPr>
            <w:r>
              <w:t>+81</w:t>
            </w:r>
          </w:p>
        </w:tc>
        <w:tc>
          <w:tcPr>
            <w:tcW w:w="1795" w:type="dxa"/>
            <w:vAlign w:val="center"/>
          </w:tcPr>
          <w:p w14:paraId="5A94628F" w14:textId="5D34DFF6" w:rsidR="00164FB5" w:rsidRPr="00A42E0B" w:rsidRDefault="000C1F72" w:rsidP="00164FB5">
            <w:pPr>
              <w:jc w:val="center"/>
            </w:pPr>
            <w:r>
              <w:t>105%</w:t>
            </w:r>
          </w:p>
        </w:tc>
      </w:tr>
      <w:tr w:rsidR="00C7610E" w:rsidRPr="002B44F5" w14:paraId="34B374CD" w14:textId="77777777" w:rsidTr="00164FB5">
        <w:trPr>
          <w:trHeight w:val="300"/>
        </w:trPr>
        <w:tc>
          <w:tcPr>
            <w:tcW w:w="2065" w:type="dxa"/>
            <w:noWrap/>
            <w:vAlign w:val="center"/>
          </w:tcPr>
          <w:p w14:paraId="1879E5A5" w14:textId="40DEDC0C" w:rsidR="00C7610E" w:rsidRPr="00C7610E" w:rsidRDefault="00C7610E" w:rsidP="00C7610E">
            <w:pPr>
              <w:jc w:val="center"/>
              <w:rPr>
                <w:rFonts w:ascii="Calibri" w:hAnsi="Calibri" w:cs="Calibri"/>
                <w:b/>
                <w:bCs/>
                <w:color w:val="000000"/>
              </w:rPr>
            </w:pPr>
            <w:r w:rsidRPr="00C7610E">
              <w:rPr>
                <w:rFonts w:ascii="Calibri" w:hAnsi="Calibri" w:cs="Calibri"/>
                <w:b/>
                <w:bCs/>
                <w:color w:val="000000"/>
              </w:rPr>
              <w:t>Overall</w:t>
            </w:r>
          </w:p>
        </w:tc>
        <w:tc>
          <w:tcPr>
            <w:tcW w:w="1800" w:type="dxa"/>
            <w:noWrap/>
            <w:vAlign w:val="center"/>
          </w:tcPr>
          <w:p w14:paraId="176BAA55" w14:textId="264977AD" w:rsidR="00C7610E" w:rsidRPr="002B44F5" w:rsidRDefault="00C7610E" w:rsidP="00164FB5">
            <w:pPr>
              <w:jc w:val="center"/>
              <w:rPr>
                <w:rFonts w:ascii="Calibri" w:hAnsi="Calibri" w:cs="Calibri"/>
                <w:color w:val="000000"/>
              </w:rPr>
            </w:pPr>
            <w:r>
              <w:rPr>
                <w:rFonts w:ascii="Calibri" w:hAnsi="Calibri" w:cs="Calibri"/>
                <w:color w:val="000000"/>
              </w:rPr>
              <w:t>9,128</w:t>
            </w:r>
          </w:p>
        </w:tc>
        <w:tc>
          <w:tcPr>
            <w:tcW w:w="1890" w:type="dxa"/>
            <w:noWrap/>
            <w:vAlign w:val="center"/>
          </w:tcPr>
          <w:p w14:paraId="18724BFC" w14:textId="410D7218" w:rsidR="00C7610E" w:rsidRDefault="00C7610E" w:rsidP="00164FB5">
            <w:pPr>
              <w:jc w:val="center"/>
              <w:rPr>
                <w:rFonts w:ascii="Calibri" w:hAnsi="Calibri" w:cs="Calibri"/>
                <w:color w:val="000000"/>
              </w:rPr>
            </w:pPr>
            <w:r>
              <w:rPr>
                <w:rFonts w:ascii="Calibri" w:hAnsi="Calibri" w:cs="Calibri"/>
                <w:color w:val="000000"/>
              </w:rPr>
              <w:t>6,973</w:t>
            </w:r>
          </w:p>
        </w:tc>
        <w:tc>
          <w:tcPr>
            <w:tcW w:w="1800" w:type="dxa"/>
            <w:vAlign w:val="center"/>
          </w:tcPr>
          <w:p w14:paraId="73D9B280" w14:textId="69E534EB" w:rsidR="00C7610E" w:rsidRDefault="00C7610E" w:rsidP="00164FB5">
            <w:pPr>
              <w:jc w:val="center"/>
            </w:pPr>
            <w:r>
              <w:t>-2,155</w:t>
            </w:r>
          </w:p>
        </w:tc>
        <w:tc>
          <w:tcPr>
            <w:tcW w:w="1795" w:type="dxa"/>
            <w:vAlign w:val="center"/>
          </w:tcPr>
          <w:p w14:paraId="01A1BBEF" w14:textId="3C7B6CB7" w:rsidR="00C7610E" w:rsidRDefault="00C7610E" w:rsidP="00164FB5">
            <w:pPr>
              <w:jc w:val="center"/>
            </w:pPr>
            <w:r>
              <w:t>76%</w:t>
            </w:r>
          </w:p>
        </w:tc>
      </w:tr>
    </w:tbl>
    <w:p w14:paraId="518580CC" w14:textId="751D15C0" w:rsidR="00824CBD" w:rsidRDefault="00824CBD" w:rsidP="00AE5EAA">
      <w:pPr>
        <w:spacing w:after="0" w:line="240" w:lineRule="auto"/>
      </w:pPr>
    </w:p>
    <w:p w14:paraId="14CB1EDB" w14:textId="77777777" w:rsidR="00C90FD0" w:rsidRDefault="00C90FD0">
      <w:pPr>
        <w:spacing w:line="259" w:lineRule="auto"/>
        <w:rPr>
          <w:rFonts w:ascii="Calibri" w:eastAsiaTheme="majorEastAsia" w:hAnsi="Calibri" w:cstheme="majorBidi"/>
          <w:b/>
          <w:sz w:val="32"/>
          <w:szCs w:val="32"/>
        </w:rPr>
      </w:pPr>
      <w:r>
        <w:br w:type="page"/>
      </w:r>
    </w:p>
    <w:p w14:paraId="2B6841CD" w14:textId="67D5EBFC" w:rsidR="002C27D8" w:rsidRDefault="002C27D8" w:rsidP="002C27D8">
      <w:pPr>
        <w:pStyle w:val="Heading1"/>
      </w:pPr>
      <w:bookmarkStart w:id="5" w:name="_Toc45026641"/>
      <w:r>
        <w:lastRenderedPageBreak/>
        <w:t>Section II. Health Disparities Updates</w:t>
      </w:r>
      <w:bookmarkEnd w:id="5"/>
    </w:p>
    <w:p w14:paraId="613303C4" w14:textId="77777777" w:rsidR="002F7CC1" w:rsidRDefault="002F7CC1" w:rsidP="002F7CC1">
      <w:r>
        <w:t xml:space="preserve">As described in the previous report, sub-recipient grantees developed health disparity plans in late 2017 through early 2018. These plans addressed the health disparate population identified through a statewide data analysis, and each sub-recipient agency incorporated this population through their coalition and strategy implementation. </w:t>
      </w:r>
    </w:p>
    <w:p w14:paraId="678349C3" w14:textId="73024F87" w:rsidR="004F7213" w:rsidRDefault="00CC5D10">
      <w:pPr>
        <w:spacing w:line="259" w:lineRule="auto"/>
      </w:pPr>
      <w:r>
        <w:t xml:space="preserve">The health disparate populations addressed through SPF-PFS prevention efforts by grantees </w:t>
      </w:r>
      <w:r w:rsidR="004F7213">
        <w:t xml:space="preserve">included African American/Black and Hispanic/Latino. Of the four grantees who continued during the extension period, three reported on health disparities numbers served/reached. Bremen Youth Services and Human Services of Southern Metro East also reported on health disparities from 2018 </w:t>
      </w:r>
      <w:r w:rsidR="002F7CC1">
        <w:t>through</w:t>
      </w:r>
      <w:r w:rsidR="004F7213">
        <w:t xml:space="preserve"> </w:t>
      </w:r>
      <w:r w:rsidR="002F7CC1">
        <w:t>2019 but</w:t>
      </w:r>
      <w:r w:rsidR="004F7213">
        <w:t xml:space="preserve"> are not included in the </w:t>
      </w:r>
      <w:r w:rsidR="002F7CC1">
        <w:t>2020</w:t>
      </w:r>
      <w:r w:rsidR="004F7213">
        <w:t xml:space="preserve"> report </w:t>
      </w:r>
      <w:r w:rsidR="002F7CC1">
        <w:t>since they were not part of the extension</w:t>
      </w:r>
      <w:r w:rsidR="004F7213">
        <w:t>.</w:t>
      </w:r>
    </w:p>
    <w:p w14:paraId="77578824" w14:textId="16127C87" w:rsidR="00672150" w:rsidRDefault="002F7CC1" w:rsidP="002F7CC1">
      <w:r>
        <w:t xml:space="preserve">CPRD and IDHS collected data tracking sheets from each sub-recipient </w:t>
      </w:r>
      <w:r w:rsidR="00BF6BE3">
        <w:t>grantee</w:t>
      </w:r>
      <w:r>
        <w:t xml:space="preserve"> to meet federal reporting requirements twice annually. </w:t>
      </w:r>
      <w:r w:rsidR="004F7213">
        <w:t xml:space="preserve">Table 2.1 below lists the number of people directly served and indirectly reached as reported by grantees from </w:t>
      </w:r>
      <w:r w:rsidR="00672150">
        <w:t>October</w:t>
      </w:r>
      <w:r w:rsidR="004F7213">
        <w:t xml:space="preserve"> of 201</w:t>
      </w:r>
      <w:r w:rsidR="00672150">
        <w:t>8</w:t>
      </w:r>
      <w:r w:rsidR="004F7213">
        <w:t xml:space="preserve"> through </w:t>
      </w:r>
      <w:r w:rsidR="00672150">
        <w:t>April of</w:t>
      </w:r>
      <w:r w:rsidR="004F7213">
        <w:t xml:space="preserve"> 2020. </w:t>
      </w:r>
      <w:r w:rsidR="00672150">
        <w:t xml:space="preserve">Note that Bremen Youth Services did not report after April 2019 due to their agency closing and Human Services </w:t>
      </w:r>
      <w:r w:rsidR="00BF6BE3">
        <w:t xml:space="preserve">Center </w:t>
      </w:r>
      <w:r w:rsidR="00672150">
        <w:t xml:space="preserve">did not report in April of 2020 since they were not part of the extension. </w:t>
      </w:r>
    </w:p>
    <w:p w14:paraId="6A04E2F7" w14:textId="4BC4D811" w:rsidR="002C27D8" w:rsidRDefault="00672150" w:rsidP="002F7CC1">
      <w:r>
        <w:t>Overall, t</w:t>
      </w:r>
      <w:r w:rsidR="002F7CC1">
        <w:t xml:space="preserve">he number of African American/Black people both directly served and indirectly reached declined sharply in April 2020. </w:t>
      </w:r>
      <w:r>
        <w:t>This is likely due to the discontinuation of strategies after the closure of schools. T</w:t>
      </w:r>
      <w:r w:rsidR="002F7CC1">
        <w:t>wo of the three remaining grantees who reported data during the extension period</w:t>
      </w:r>
      <w:r>
        <w:t xml:space="preserve"> </w:t>
      </w:r>
      <w:r w:rsidR="002F7CC1">
        <w:t xml:space="preserve">were implementing three separate youth prevention education curricula and </w:t>
      </w:r>
      <w:r>
        <w:t>two communication campaigns designed to reach parents. By contrast, Hispanic/Latino numbers were less impacted since the one grantee who reported was implementing only communication campaigns, which are less affected by school closures.</w:t>
      </w:r>
    </w:p>
    <w:p w14:paraId="34970402" w14:textId="350E1A0F" w:rsidR="004F7213" w:rsidRPr="00824CBD" w:rsidRDefault="004F7213" w:rsidP="004F7213">
      <w:pPr>
        <w:spacing w:line="240" w:lineRule="auto"/>
        <w:jc w:val="center"/>
        <w:rPr>
          <w:rFonts w:ascii="Calibri" w:hAnsi="Calibri"/>
          <w:b/>
          <w:color w:val="FF0000"/>
          <w:sz w:val="24"/>
          <w:szCs w:val="24"/>
        </w:rPr>
      </w:pPr>
      <w:r>
        <w:rPr>
          <w:rFonts w:ascii="Calibri" w:hAnsi="Calibri"/>
          <w:b/>
          <w:color w:val="000000"/>
          <w:sz w:val="24"/>
          <w:szCs w:val="24"/>
        </w:rPr>
        <w:t>TABLE 2.1</w:t>
      </w:r>
    </w:p>
    <w:p w14:paraId="2081A369" w14:textId="365190F8" w:rsidR="004F7213" w:rsidRPr="00824CBD" w:rsidRDefault="004F7213" w:rsidP="004F7213">
      <w:pPr>
        <w:spacing w:line="240" w:lineRule="auto"/>
        <w:jc w:val="center"/>
        <w:rPr>
          <w:rFonts w:ascii="Calibri" w:hAnsi="Calibri"/>
          <w:b/>
          <w:color w:val="FF0000"/>
          <w:sz w:val="24"/>
          <w:szCs w:val="24"/>
        </w:rPr>
      </w:pPr>
      <w:r>
        <w:rPr>
          <w:rFonts w:ascii="Calibri" w:hAnsi="Calibri"/>
          <w:b/>
          <w:color w:val="000000"/>
          <w:sz w:val="24"/>
          <w:szCs w:val="24"/>
        </w:rPr>
        <w:t>HEALTH DISPARITY NUMBERS SERVED/REACHED</w:t>
      </w:r>
    </w:p>
    <w:tbl>
      <w:tblPr>
        <w:tblStyle w:val="TableGrid"/>
        <w:tblW w:w="0" w:type="auto"/>
        <w:tblInd w:w="0" w:type="dxa"/>
        <w:tblLook w:val="04A0" w:firstRow="1" w:lastRow="0" w:firstColumn="1" w:lastColumn="0" w:noHBand="0" w:noVBand="1"/>
      </w:tblPr>
      <w:tblGrid>
        <w:gridCol w:w="2581"/>
        <w:gridCol w:w="1808"/>
        <w:gridCol w:w="1224"/>
        <w:gridCol w:w="1285"/>
        <w:gridCol w:w="1195"/>
        <w:gridCol w:w="1257"/>
      </w:tblGrid>
      <w:tr w:rsidR="00672150" w14:paraId="1173A7BE" w14:textId="724E0A7E" w:rsidTr="00672150">
        <w:tc>
          <w:tcPr>
            <w:tcW w:w="2581" w:type="dxa"/>
            <w:vMerge w:val="restart"/>
            <w:vAlign w:val="center"/>
          </w:tcPr>
          <w:p w14:paraId="68C623D8" w14:textId="20C45948" w:rsidR="00672150" w:rsidRDefault="00672150" w:rsidP="00CC5D10">
            <w:pPr>
              <w:spacing w:line="259" w:lineRule="auto"/>
              <w:jc w:val="center"/>
            </w:pPr>
            <w:r>
              <w:t>SPARS Reports</w:t>
            </w:r>
          </w:p>
        </w:tc>
        <w:tc>
          <w:tcPr>
            <w:tcW w:w="1808" w:type="dxa"/>
            <w:vMerge w:val="restart"/>
          </w:tcPr>
          <w:p w14:paraId="6B181C13" w14:textId="34B2DB1E" w:rsidR="00672150" w:rsidRDefault="00672150" w:rsidP="00CC5D10">
            <w:pPr>
              <w:spacing w:line="259" w:lineRule="auto"/>
              <w:jc w:val="center"/>
            </w:pPr>
            <w:r>
              <w:t>Number of Grantees Reporting</w:t>
            </w:r>
          </w:p>
        </w:tc>
        <w:tc>
          <w:tcPr>
            <w:tcW w:w="2509" w:type="dxa"/>
            <w:gridSpan w:val="2"/>
            <w:vAlign w:val="center"/>
          </w:tcPr>
          <w:p w14:paraId="5C71B683" w14:textId="4ACB0F55" w:rsidR="00672150" w:rsidRDefault="00672150" w:rsidP="00CC5D10">
            <w:pPr>
              <w:spacing w:line="259" w:lineRule="auto"/>
              <w:jc w:val="center"/>
            </w:pPr>
            <w:r>
              <w:t>African American/Black</w:t>
            </w:r>
          </w:p>
        </w:tc>
        <w:tc>
          <w:tcPr>
            <w:tcW w:w="2452" w:type="dxa"/>
            <w:gridSpan w:val="2"/>
            <w:vAlign w:val="center"/>
          </w:tcPr>
          <w:p w14:paraId="36F589E5" w14:textId="74DFB385" w:rsidR="00672150" w:rsidRDefault="00672150" w:rsidP="00CC5D10">
            <w:pPr>
              <w:spacing w:line="259" w:lineRule="auto"/>
              <w:jc w:val="center"/>
            </w:pPr>
            <w:r>
              <w:t>Hispanic or Latino</w:t>
            </w:r>
          </w:p>
        </w:tc>
      </w:tr>
      <w:tr w:rsidR="00672150" w14:paraId="093082FC" w14:textId="04B7F56E" w:rsidTr="00672150">
        <w:tc>
          <w:tcPr>
            <w:tcW w:w="2581" w:type="dxa"/>
            <w:vMerge/>
          </w:tcPr>
          <w:p w14:paraId="1CF6E9EF" w14:textId="77777777" w:rsidR="00672150" w:rsidRDefault="00672150" w:rsidP="00CC5D10">
            <w:pPr>
              <w:spacing w:line="259" w:lineRule="auto"/>
            </w:pPr>
          </w:p>
        </w:tc>
        <w:tc>
          <w:tcPr>
            <w:tcW w:w="1808" w:type="dxa"/>
            <w:vMerge/>
          </w:tcPr>
          <w:p w14:paraId="0C8C5DA2" w14:textId="77777777" w:rsidR="00672150" w:rsidRDefault="00672150" w:rsidP="00CC5D10">
            <w:pPr>
              <w:spacing w:line="259" w:lineRule="auto"/>
              <w:jc w:val="center"/>
            </w:pPr>
          </w:p>
        </w:tc>
        <w:tc>
          <w:tcPr>
            <w:tcW w:w="1224" w:type="dxa"/>
            <w:vAlign w:val="center"/>
          </w:tcPr>
          <w:p w14:paraId="47793B5C" w14:textId="16F9E9D5" w:rsidR="00672150" w:rsidRDefault="00672150" w:rsidP="00CC5D10">
            <w:pPr>
              <w:spacing w:line="259" w:lineRule="auto"/>
              <w:jc w:val="center"/>
            </w:pPr>
            <w:r>
              <w:t>Directly Serve</w:t>
            </w:r>
          </w:p>
        </w:tc>
        <w:tc>
          <w:tcPr>
            <w:tcW w:w="1285" w:type="dxa"/>
            <w:vAlign w:val="center"/>
          </w:tcPr>
          <w:p w14:paraId="10E7017B" w14:textId="481C069D" w:rsidR="00672150" w:rsidRDefault="00672150" w:rsidP="00CC5D10">
            <w:pPr>
              <w:spacing w:line="259" w:lineRule="auto"/>
              <w:jc w:val="center"/>
            </w:pPr>
            <w:r>
              <w:t>Indirectly Reach</w:t>
            </w:r>
          </w:p>
        </w:tc>
        <w:tc>
          <w:tcPr>
            <w:tcW w:w="1195" w:type="dxa"/>
            <w:vAlign w:val="center"/>
          </w:tcPr>
          <w:p w14:paraId="4D643F21" w14:textId="45B0194B" w:rsidR="00672150" w:rsidRDefault="00672150" w:rsidP="00CC5D10">
            <w:pPr>
              <w:spacing w:line="259" w:lineRule="auto"/>
              <w:jc w:val="center"/>
            </w:pPr>
            <w:r>
              <w:t>Directly Serve</w:t>
            </w:r>
          </w:p>
        </w:tc>
        <w:tc>
          <w:tcPr>
            <w:tcW w:w="1257" w:type="dxa"/>
            <w:vAlign w:val="center"/>
          </w:tcPr>
          <w:p w14:paraId="204F2B45" w14:textId="0FC73EBF" w:rsidR="00672150" w:rsidRDefault="00672150" w:rsidP="00CC5D10">
            <w:pPr>
              <w:spacing w:line="259" w:lineRule="auto"/>
              <w:jc w:val="center"/>
            </w:pPr>
            <w:r>
              <w:t>Indirectly Reach</w:t>
            </w:r>
          </w:p>
        </w:tc>
      </w:tr>
      <w:tr w:rsidR="00672150" w14:paraId="40D2AEE7" w14:textId="77777777" w:rsidTr="00672150">
        <w:tc>
          <w:tcPr>
            <w:tcW w:w="2581" w:type="dxa"/>
          </w:tcPr>
          <w:p w14:paraId="63855B90" w14:textId="272075E8" w:rsidR="00672150" w:rsidRDefault="00672150" w:rsidP="00CC5D10">
            <w:pPr>
              <w:spacing w:line="259" w:lineRule="auto"/>
            </w:pPr>
            <w:r>
              <w:t>October 2018</w:t>
            </w:r>
          </w:p>
        </w:tc>
        <w:tc>
          <w:tcPr>
            <w:tcW w:w="1808" w:type="dxa"/>
          </w:tcPr>
          <w:p w14:paraId="5411CD36" w14:textId="4C8CD827" w:rsidR="00672150" w:rsidRDefault="00672150" w:rsidP="00CC5D10">
            <w:pPr>
              <w:spacing w:line="259" w:lineRule="auto"/>
              <w:jc w:val="center"/>
            </w:pPr>
            <w:r>
              <w:t>5</w:t>
            </w:r>
          </w:p>
        </w:tc>
        <w:tc>
          <w:tcPr>
            <w:tcW w:w="1224" w:type="dxa"/>
            <w:vAlign w:val="center"/>
          </w:tcPr>
          <w:p w14:paraId="0E168386" w14:textId="7FF0CDBD" w:rsidR="00672150" w:rsidRDefault="00672150" w:rsidP="00CC5D10">
            <w:pPr>
              <w:spacing w:line="259" w:lineRule="auto"/>
              <w:jc w:val="center"/>
            </w:pPr>
            <w:r>
              <w:t>34</w:t>
            </w:r>
          </w:p>
        </w:tc>
        <w:tc>
          <w:tcPr>
            <w:tcW w:w="1285" w:type="dxa"/>
            <w:vAlign w:val="center"/>
          </w:tcPr>
          <w:p w14:paraId="10C067DA" w14:textId="04E30752" w:rsidR="00672150" w:rsidRDefault="00672150" w:rsidP="00CC5D10">
            <w:pPr>
              <w:spacing w:line="259" w:lineRule="auto"/>
              <w:jc w:val="center"/>
            </w:pPr>
            <w:r>
              <w:t>408</w:t>
            </w:r>
          </w:p>
        </w:tc>
        <w:tc>
          <w:tcPr>
            <w:tcW w:w="1195" w:type="dxa"/>
            <w:vAlign w:val="center"/>
          </w:tcPr>
          <w:p w14:paraId="405CC434" w14:textId="53CE2E41" w:rsidR="00672150" w:rsidRDefault="00672150" w:rsidP="00CC5D10">
            <w:pPr>
              <w:spacing w:line="259" w:lineRule="auto"/>
              <w:jc w:val="center"/>
            </w:pPr>
            <w:r>
              <w:t>88</w:t>
            </w:r>
          </w:p>
        </w:tc>
        <w:tc>
          <w:tcPr>
            <w:tcW w:w="1257" w:type="dxa"/>
            <w:vAlign w:val="center"/>
          </w:tcPr>
          <w:p w14:paraId="41DFC699" w14:textId="6CB91240" w:rsidR="00672150" w:rsidRDefault="00672150" w:rsidP="00CC5D10">
            <w:pPr>
              <w:spacing w:line="259" w:lineRule="auto"/>
              <w:jc w:val="center"/>
            </w:pPr>
            <w:r>
              <w:t>5,414</w:t>
            </w:r>
          </w:p>
        </w:tc>
      </w:tr>
      <w:tr w:rsidR="00672150" w14:paraId="24A9EFB8" w14:textId="77777777" w:rsidTr="00672150">
        <w:tc>
          <w:tcPr>
            <w:tcW w:w="2581" w:type="dxa"/>
          </w:tcPr>
          <w:p w14:paraId="2CB63201" w14:textId="04DA2F05" w:rsidR="00672150" w:rsidRDefault="00672150" w:rsidP="00CC5D10">
            <w:pPr>
              <w:spacing w:line="259" w:lineRule="auto"/>
            </w:pPr>
            <w:r>
              <w:t>April 2019</w:t>
            </w:r>
          </w:p>
        </w:tc>
        <w:tc>
          <w:tcPr>
            <w:tcW w:w="1808" w:type="dxa"/>
          </w:tcPr>
          <w:p w14:paraId="2729184C" w14:textId="524D2A3B" w:rsidR="00672150" w:rsidRDefault="00672150" w:rsidP="00CC5D10">
            <w:pPr>
              <w:spacing w:line="259" w:lineRule="auto"/>
              <w:jc w:val="center"/>
            </w:pPr>
            <w:r>
              <w:t>5</w:t>
            </w:r>
          </w:p>
        </w:tc>
        <w:tc>
          <w:tcPr>
            <w:tcW w:w="1224" w:type="dxa"/>
            <w:vAlign w:val="center"/>
          </w:tcPr>
          <w:p w14:paraId="64A92195" w14:textId="49FA6CB4" w:rsidR="00672150" w:rsidRDefault="00672150" w:rsidP="00CC5D10">
            <w:pPr>
              <w:spacing w:line="259" w:lineRule="auto"/>
              <w:jc w:val="center"/>
            </w:pPr>
            <w:r>
              <w:t>80</w:t>
            </w:r>
          </w:p>
        </w:tc>
        <w:tc>
          <w:tcPr>
            <w:tcW w:w="1285" w:type="dxa"/>
            <w:vAlign w:val="center"/>
          </w:tcPr>
          <w:p w14:paraId="477A4D6F" w14:textId="372D2C42" w:rsidR="00672150" w:rsidRDefault="00672150" w:rsidP="00CC5D10">
            <w:pPr>
              <w:spacing w:line="259" w:lineRule="auto"/>
              <w:jc w:val="center"/>
            </w:pPr>
            <w:r>
              <w:t>3,850</w:t>
            </w:r>
          </w:p>
        </w:tc>
        <w:tc>
          <w:tcPr>
            <w:tcW w:w="1195" w:type="dxa"/>
            <w:vAlign w:val="center"/>
          </w:tcPr>
          <w:p w14:paraId="39F98247" w14:textId="21D0ABE5" w:rsidR="00672150" w:rsidRDefault="00672150" w:rsidP="00CC5D10">
            <w:pPr>
              <w:spacing w:line="259" w:lineRule="auto"/>
              <w:jc w:val="center"/>
            </w:pPr>
            <w:r>
              <w:t>683</w:t>
            </w:r>
          </w:p>
        </w:tc>
        <w:tc>
          <w:tcPr>
            <w:tcW w:w="1257" w:type="dxa"/>
            <w:vAlign w:val="center"/>
          </w:tcPr>
          <w:p w14:paraId="3407A74C" w14:textId="008FDA3A" w:rsidR="00672150" w:rsidRDefault="00672150" w:rsidP="00CC5D10">
            <w:pPr>
              <w:spacing w:line="259" w:lineRule="auto"/>
              <w:jc w:val="center"/>
            </w:pPr>
            <w:r>
              <w:t>6,614</w:t>
            </w:r>
          </w:p>
        </w:tc>
      </w:tr>
      <w:tr w:rsidR="00672150" w14:paraId="5B96CC87" w14:textId="77777777" w:rsidTr="00672150">
        <w:tc>
          <w:tcPr>
            <w:tcW w:w="2581" w:type="dxa"/>
          </w:tcPr>
          <w:p w14:paraId="30B51CDB" w14:textId="602BFE27" w:rsidR="00672150" w:rsidRDefault="00672150" w:rsidP="00CC5D10">
            <w:pPr>
              <w:spacing w:line="259" w:lineRule="auto"/>
            </w:pPr>
            <w:r>
              <w:t>October 2019</w:t>
            </w:r>
          </w:p>
        </w:tc>
        <w:tc>
          <w:tcPr>
            <w:tcW w:w="1808" w:type="dxa"/>
          </w:tcPr>
          <w:p w14:paraId="089D1DF9" w14:textId="755A0002" w:rsidR="00672150" w:rsidRDefault="00672150" w:rsidP="00CC5D10">
            <w:pPr>
              <w:spacing w:line="259" w:lineRule="auto"/>
              <w:jc w:val="center"/>
            </w:pPr>
            <w:r>
              <w:t>4</w:t>
            </w:r>
          </w:p>
        </w:tc>
        <w:tc>
          <w:tcPr>
            <w:tcW w:w="1224" w:type="dxa"/>
            <w:vAlign w:val="center"/>
          </w:tcPr>
          <w:p w14:paraId="2F20C711" w14:textId="6E95EC74" w:rsidR="00672150" w:rsidRDefault="00672150" w:rsidP="00CC5D10">
            <w:pPr>
              <w:spacing w:line="259" w:lineRule="auto"/>
              <w:jc w:val="center"/>
            </w:pPr>
            <w:r>
              <w:t>49</w:t>
            </w:r>
          </w:p>
        </w:tc>
        <w:tc>
          <w:tcPr>
            <w:tcW w:w="1285" w:type="dxa"/>
            <w:vAlign w:val="center"/>
          </w:tcPr>
          <w:p w14:paraId="178191EC" w14:textId="1F2D18E6" w:rsidR="00672150" w:rsidRDefault="00672150" w:rsidP="00CC5D10">
            <w:pPr>
              <w:spacing w:line="259" w:lineRule="auto"/>
              <w:jc w:val="center"/>
            </w:pPr>
            <w:r>
              <w:t>4,393</w:t>
            </w:r>
          </w:p>
        </w:tc>
        <w:tc>
          <w:tcPr>
            <w:tcW w:w="1195" w:type="dxa"/>
            <w:vAlign w:val="center"/>
          </w:tcPr>
          <w:p w14:paraId="60C7CDCB" w14:textId="283CEA01" w:rsidR="00672150" w:rsidRDefault="00672150" w:rsidP="00CC5D10">
            <w:pPr>
              <w:spacing w:line="259" w:lineRule="auto"/>
              <w:jc w:val="center"/>
            </w:pPr>
            <w:r>
              <w:t>62</w:t>
            </w:r>
          </w:p>
        </w:tc>
        <w:tc>
          <w:tcPr>
            <w:tcW w:w="1257" w:type="dxa"/>
            <w:vAlign w:val="center"/>
          </w:tcPr>
          <w:p w14:paraId="6C2ED463" w14:textId="74A33317" w:rsidR="00672150" w:rsidRDefault="00672150" w:rsidP="00CC5D10">
            <w:pPr>
              <w:spacing w:line="259" w:lineRule="auto"/>
              <w:jc w:val="center"/>
            </w:pPr>
            <w:r>
              <w:t>5,384</w:t>
            </w:r>
          </w:p>
        </w:tc>
      </w:tr>
      <w:tr w:rsidR="00672150" w14:paraId="47C08610" w14:textId="183BB349" w:rsidTr="00672150">
        <w:tc>
          <w:tcPr>
            <w:tcW w:w="2581" w:type="dxa"/>
          </w:tcPr>
          <w:p w14:paraId="251DB2F9" w14:textId="7DC51A51" w:rsidR="00672150" w:rsidRDefault="00672150" w:rsidP="00CC5D10">
            <w:pPr>
              <w:spacing w:line="259" w:lineRule="auto"/>
            </w:pPr>
            <w:r>
              <w:t>April 2020</w:t>
            </w:r>
          </w:p>
        </w:tc>
        <w:tc>
          <w:tcPr>
            <w:tcW w:w="1808" w:type="dxa"/>
          </w:tcPr>
          <w:p w14:paraId="4CE60641" w14:textId="43CBC2A5" w:rsidR="00672150" w:rsidRDefault="00672150" w:rsidP="00CC5D10">
            <w:pPr>
              <w:spacing w:line="259" w:lineRule="auto"/>
              <w:jc w:val="center"/>
            </w:pPr>
            <w:r>
              <w:t>3</w:t>
            </w:r>
          </w:p>
        </w:tc>
        <w:tc>
          <w:tcPr>
            <w:tcW w:w="1224" w:type="dxa"/>
            <w:vAlign w:val="center"/>
          </w:tcPr>
          <w:p w14:paraId="7F67C17C" w14:textId="0E938871" w:rsidR="00672150" w:rsidRDefault="00672150" w:rsidP="00CC5D10">
            <w:pPr>
              <w:spacing w:line="259" w:lineRule="auto"/>
              <w:jc w:val="center"/>
            </w:pPr>
            <w:r>
              <w:t>61</w:t>
            </w:r>
          </w:p>
        </w:tc>
        <w:tc>
          <w:tcPr>
            <w:tcW w:w="1285" w:type="dxa"/>
            <w:vAlign w:val="center"/>
          </w:tcPr>
          <w:p w14:paraId="4A76B9BE" w14:textId="7C75932E" w:rsidR="00672150" w:rsidRDefault="00672150" w:rsidP="00CC5D10">
            <w:pPr>
              <w:spacing w:line="259" w:lineRule="auto"/>
              <w:jc w:val="center"/>
            </w:pPr>
            <w:r>
              <w:t>387</w:t>
            </w:r>
          </w:p>
        </w:tc>
        <w:tc>
          <w:tcPr>
            <w:tcW w:w="1195" w:type="dxa"/>
            <w:vAlign w:val="center"/>
          </w:tcPr>
          <w:p w14:paraId="5ACA3A86" w14:textId="09A252D0" w:rsidR="00672150" w:rsidRDefault="00672150" w:rsidP="00CC5D10">
            <w:pPr>
              <w:spacing w:line="259" w:lineRule="auto"/>
              <w:jc w:val="center"/>
            </w:pPr>
            <w:r>
              <w:t>412</w:t>
            </w:r>
          </w:p>
        </w:tc>
        <w:tc>
          <w:tcPr>
            <w:tcW w:w="1257" w:type="dxa"/>
            <w:vAlign w:val="center"/>
          </w:tcPr>
          <w:p w14:paraId="4559BA5B" w14:textId="6FCBF522" w:rsidR="00672150" w:rsidRDefault="00672150" w:rsidP="00CC5D10">
            <w:pPr>
              <w:spacing w:line="259" w:lineRule="auto"/>
              <w:jc w:val="center"/>
            </w:pPr>
            <w:r>
              <w:t>5,249</w:t>
            </w:r>
          </w:p>
        </w:tc>
      </w:tr>
    </w:tbl>
    <w:p w14:paraId="349DB0CB" w14:textId="77777777" w:rsidR="00672150" w:rsidRDefault="00672150">
      <w:pPr>
        <w:spacing w:line="259" w:lineRule="auto"/>
      </w:pPr>
    </w:p>
    <w:p w14:paraId="719C045E" w14:textId="77777777" w:rsidR="00672150" w:rsidRDefault="00672150">
      <w:pPr>
        <w:spacing w:line="259" w:lineRule="auto"/>
      </w:pPr>
    </w:p>
    <w:p w14:paraId="55D6C564" w14:textId="77777777" w:rsidR="00672150" w:rsidRDefault="00672150">
      <w:pPr>
        <w:spacing w:line="259" w:lineRule="auto"/>
      </w:pPr>
    </w:p>
    <w:p w14:paraId="56A172B7" w14:textId="09607E37" w:rsidR="002C27D8" w:rsidRDefault="002C27D8">
      <w:pPr>
        <w:spacing w:line="259" w:lineRule="auto"/>
      </w:pPr>
      <w:r>
        <w:br w:type="page"/>
      </w:r>
    </w:p>
    <w:p w14:paraId="36B7AF36" w14:textId="5EB1F882" w:rsidR="002C27D8" w:rsidRPr="002C27D8" w:rsidRDefault="002C27D8" w:rsidP="002C27D8">
      <w:pPr>
        <w:pStyle w:val="Heading1"/>
      </w:pPr>
      <w:bookmarkStart w:id="6" w:name="_Hlk44416464"/>
      <w:bookmarkStart w:id="7" w:name="_Toc45026642"/>
      <w:r>
        <w:lastRenderedPageBreak/>
        <w:t>Section III. COVID-19 Pandemic Effect on SPF-PFS Project</w:t>
      </w:r>
      <w:bookmarkEnd w:id="7"/>
      <w:r>
        <w:t xml:space="preserve"> </w:t>
      </w:r>
    </w:p>
    <w:bookmarkEnd w:id="6"/>
    <w:p w14:paraId="6F8327E9" w14:textId="4D013680" w:rsidR="00432157" w:rsidRDefault="00432157" w:rsidP="00CA5563">
      <w:pPr>
        <w:spacing w:after="0" w:line="240" w:lineRule="auto"/>
      </w:pPr>
      <w:r>
        <w:t>The COVID-19 pandemic in the United States occurred during this grant extension period. This had multiple impacts on the SPF-PFS project, including the Illinois Youth Survey</w:t>
      </w:r>
      <w:r w:rsidR="00BF6BE3">
        <w:t xml:space="preserve"> and</w:t>
      </w:r>
      <w:r>
        <w:t xml:space="preserve"> the implementation of evidence-based strategies. These are </w:t>
      </w:r>
      <w:r w:rsidR="00BF6BE3">
        <w:t>described below.</w:t>
      </w:r>
    </w:p>
    <w:p w14:paraId="3F0E73EC" w14:textId="288204DE" w:rsidR="00432157" w:rsidRDefault="00432157" w:rsidP="00CA5563">
      <w:pPr>
        <w:spacing w:after="0" w:line="240" w:lineRule="auto"/>
      </w:pPr>
    </w:p>
    <w:p w14:paraId="774EE84E" w14:textId="3D089DC3" w:rsidR="00432157" w:rsidRPr="00432157" w:rsidRDefault="00432157" w:rsidP="00B50C79">
      <w:pPr>
        <w:pStyle w:val="Heading2"/>
      </w:pPr>
      <w:bookmarkStart w:id="8" w:name="_Toc45026643"/>
      <w:r w:rsidRPr="00432157">
        <w:t>Illinois Youth Survey Data Collection</w:t>
      </w:r>
      <w:bookmarkEnd w:id="8"/>
    </w:p>
    <w:p w14:paraId="2486645F" w14:textId="36260420" w:rsidR="00463A99" w:rsidRDefault="00463A99" w:rsidP="00CA5563">
      <w:pPr>
        <w:spacing w:after="0" w:line="240" w:lineRule="auto"/>
      </w:pPr>
      <w:r>
        <w:t>The</w:t>
      </w:r>
      <w:r w:rsidR="00432157">
        <w:t xml:space="preserve"> IYS administration was halted on March 16, 2020 due to the closure of all schools in Illinois. The IYS’s approval through the University of Illinois Institutional Review Board only contain</w:t>
      </w:r>
      <w:r>
        <w:t>ed</w:t>
      </w:r>
      <w:r w:rsidR="00432157">
        <w:t xml:space="preserve"> approved protocols for surveying in classrooms in a school setting. Schools in Illinois later resumed in an online-only format</w:t>
      </w:r>
      <w:r w:rsidR="00CC140F">
        <w:t>. While the IYS is available in an online format, the IRB approved protocol still required the online survey to be administered in a school setting. On recommendation from the IYS administrative team after extensive discussion, the decision was made that adequate protection of confidentiality and guaranteeing the safety of IYS survey participants could not be assured were the online survey completed in an out-of-school setting</w:t>
      </w:r>
      <w:r w:rsidR="00432157">
        <w:t xml:space="preserve">, but the IYS was not able to </w:t>
      </w:r>
      <w:r>
        <w:t>reopen during spring 2020</w:t>
      </w:r>
      <w:r w:rsidR="00432157">
        <w:t xml:space="preserve">. </w:t>
      </w:r>
    </w:p>
    <w:p w14:paraId="77AB289B" w14:textId="77777777" w:rsidR="00463A99" w:rsidRDefault="00463A99" w:rsidP="00CA5563">
      <w:pPr>
        <w:spacing w:after="0" w:line="240" w:lineRule="auto"/>
      </w:pPr>
    </w:p>
    <w:p w14:paraId="7471159A" w14:textId="050827A9" w:rsidR="00463A99" w:rsidRDefault="00463A99" w:rsidP="00CA5563">
      <w:pPr>
        <w:spacing w:after="0" w:line="240" w:lineRule="auto"/>
      </w:pPr>
      <w:r>
        <w:t>For the SPF-PFS grantees, this meant that o</w:t>
      </w:r>
      <w:r w:rsidR="00432157">
        <w:t>nly schools who completed the survey before March 16</w:t>
      </w:r>
      <w:r w:rsidR="00432157" w:rsidRPr="00432157">
        <w:rPr>
          <w:vertAlign w:val="superscript"/>
        </w:rPr>
        <w:t>th</w:t>
      </w:r>
      <w:r w:rsidR="00432157">
        <w:t xml:space="preserve"> were included in the 2020 data collection. </w:t>
      </w:r>
      <w:r>
        <w:t xml:space="preserve">Twelve of 43 schools (28%) in SPF-PFS community areas were not able to survey in 2020. Of the schools who collected data, all received their school </w:t>
      </w:r>
      <w:r w:rsidR="00801194">
        <w:t>and district reports,</w:t>
      </w:r>
      <w:r>
        <w:t xml:space="preserve"> but county</w:t>
      </w:r>
      <w:r w:rsidR="00BF6BE3">
        <w:t xml:space="preserve"> and community/city</w:t>
      </w:r>
      <w:r>
        <w:t xml:space="preserve"> reports </w:t>
      </w:r>
      <w:r w:rsidR="00801194">
        <w:t xml:space="preserve">are not </w:t>
      </w:r>
      <w:r>
        <w:t>available</w:t>
      </w:r>
      <w:r w:rsidR="00801194" w:rsidRPr="00801194">
        <w:t xml:space="preserve"> </w:t>
      </w:r>
      <w:r w:rsidR="00801194">
        <w:t xml:space="preserve">prior to the close of the funding period on June 30th. Due to this unfortunate timing, </w:t>
      </w:r>
      <w:r w:rsidR="00CC140F">
        <w:t xml:space="preserve">SPF-PFS grantees </w:t>
      </w:r>
      <w:r w:rsidR="00801194">
        <w:t xml:space="preserve">are not able to </w:t>
      </w:r>
      <w:r>
        <w:t>assess their impact on 30-day alcohol use and contributing factors</w:t>
      </w:r>
      <w:r w:rsidR="00801194">
        <w:t>.</w:t>
      </w:r>
    </w:p>
    <w:p w14:paraId="24E62A61" w14:textId="77777777" w:rsidR="00422835" w:rsidRDefault="00422835" w:rsidP="00CA5563">
      <w:pPr>
        <w:spacing w:after="0" w:line="240" w:lineRule="auto"/>
      </w:pPr>
    </w:p>
    <w:p w14:paraId="7E662BB1" w14:textId="0E991863" w:rsidR="00463A99" w:rsidRDefault="00463A99" w:rsidP="00B50C79">
      <w:pPr>
        <w:pStyle w:val="Heading2"/>
      </w:pPr>
      <w:bookmarkStart w:id="9" w:name="_Toc45026644"/>
      <w:r>
        <w:t>Strategy Implementation</w:t>
      </w:r>
      <w:bookmarkEnd w:id="9"/>
    </w:p>
    <w:p w14:paraId="5E39B8D7" w14:textId="677500B8" w:rsidR="005574D6" w:rsidRPr="00463A99" w:rsidRDefault="00463A99" w:rsidP="00463A99">
      <w:r>
        <w:t xml:space="preserve">In addition to data collection through the Illinois Youth Survey, </w:t>
      </w:r>
      <w:r w:rsidR="00BF6BE3">
        <w:t>five</w:t>
      </w:r>
      <w:r>
        <w:t xml:space="preserve"> grantees continued to implement evidence-based strategies during the grant extension period. </w:t>
      </w:r>
      <w:r w:rsidR="00940221">
        <w:t xml:space="preserve">Grantees reported the number of people reached per </w:t>
      </w:r>
      <w:r w:rsidR="00BF6BE3">
        <w:t>prevention activity</w:t>
      </w:r>
      <w:r w:rsidR="00940221">
        <w:t xml:space="preserve"> each quarter in the Prevention Hub. </w:t>
      </w:r>
      <w:r w:rsidR="00672150">
        <w:t>Table 3.1 below lists the number of people reach</w:t>
      </w:r>
      <w:r w:rsidR="00940221">
        <w:t>ed</w:t>
      </w:r>
      <w:r w:rsidR="00672150">
        <w:t xml:space="preserve"> by quarter for the extension period.</w:t>
      </w:r>
      <w:r w:rsidR="00136310">
        <w:t xml:space="preserve"> Several grantees were forced to discontinue strategy implementation due to school closures. A few grantees implementing communication campaigns targeting parents chose to continue, but due to the stay-at-home order issued by Governor Pritzker in April 2020 the ability to reach parents declined. As shown in Table 3.1, all grantees had no or significantly lower reach in 2020 </w:t>
      </w:r>
      <w:proofErr w:type="gramStart"/>
      <w:r w:rsidR="00136310">
        <w:t>with the exception of</w:t>
      </w:r>
      <w:proofErr w:type="gramEnd"/>
      <w:r w:rsidR="00136310">
        <w:t xml:space="preserve"> Kenneth Young Center. </w:t>
      </w:r>
    </w:p>
    <w:p w14:paraId="1BCFD3CF" w14:textId="4C0D39A8" w:rsidR="004C4734" w:rsidRPr="00824CBD" w:rsidRDefault="004C4734" w:rsidP="004C4734">
      <w:pPr>
        <w:spacing w:line="240" w:lineRule="auto"/>
        <w:jc w:val="center"/>
        <w:rPr>
          <w:rFonts w:ascii="Calibri" w:hAnsi="Calibri"/>
          <w:b/>
          <w:color w:val="FF0000"/>
          <w:sz w:val="24"/>
          <w:szCs w:val="24"/>
        </w:rPr>
      </w:pPr>
      <w:r>
        <w:rPr>
          <w:rFonts w:ascii="Calibri" w:hAnsi="Calibri"/>
          <w:b/>
          <w:color w:val="000000"/>
          <w:sz w:val="24"/>
          <w:szCs w:val="24"/>
        </w:rPr>
        <w:t>TABLE 3.1</w:t>
      </w:r>
    </w:p>
    <w:p w14:paraId="1ABF18A1" w14:textId="7036E68C" w:rsidR="00432157" w:rsidRDefault="004C4734" w:rsidP="004C4734">
      <w:pPr>
        <w:spacing w:line="240" w:lineRule="auto"/>
        <w:jc w:val="center"/>
      </w:pPr>
      <w:r>
        <w:rPr>
          <w:rFonts w:ascii="Calibri" w:hAnsi="Calibri"/>
          <w:b/>
          <w:color w:val="000000"/>
          <w:sz w:val="24"/>
          <w:szCs w:val="24"/>
        </w:rPr>
        <w:t>TOTAL POPULATION SERVED BY PREVENTION ACTIVITY</w:t>
      </w:r>
    </w:p>
    <w:tbl>
      <w:tblPr>
        <w:tblStyle w:val="TableGrid"/>
        <w:tblW w:w="0" w:type="auto"/>
        <w:tblInd w:w="-185" w:type="dxa"/>
        <w:tblLook w:val="04A0" w:firstRow="1" w:lastRow="0" w:firstColumn="1" w:lastColumn="0" w:noHBand="0" w:noVBand="1"/>
      </w:tblPr>
      <w:tblGrid>
        <w:gridCol w:w="720"/>
        <w:gridCol w:w="3418"/>
        <w:gridCol w:w="1251"/>
        <w:gridCol w:w="1217"/>
        <w:gridCol w:w="992"/>
        <w:gridCol w:w="971"/>
        <w:gridCol w:w="966"/>
      </w:tblGrid>
      <w:tr w:rsidR="005574D6" w:rsidRPr="005574D6" w14:paraId="623DDB7A" w14:textId="77777777" w:rsidTr="005574D6">
        <w:trPr>
          <w:trHeight w:val="915"/>
        </w:trPr>
        <w:tc>
          <w:tcPr>
            <w:tcW w:w="720" w:type="dxa"/>
            <w:noWrap/>
            <w:vAlign w:val="center"/>
            <w:hideMark/>
          </w:tcPr>
          <w:p w14:paraId="6F0D5806" w14:textId="6526AA5C" w:rsidR="005574D6" w:rsidRPr="005574D6" w:rsidRDefault="005574D6" w:rsidP="005574D6">
            <w:pPr>
              <w:spacing w:line="240" w:lineRule="auto"/>
              <w:jc w:val="center"/>
            </w:pPr>
          </w:p>
        </w:tc>
        <w:tc>
          <w:tcPr>
            <w:tcW w:w="3418" w:type="dxa"/>
            <w:vAlign w:val="center"/>
            <w:hideMark/>
          </w:tcPr>
          <w:p w14:paraId="6DF6DDB5" w14:textId="77777777" w:rsidR="005574D6" w:rsidRPr="005574D6" w:rsidRDefault="005574D6" w:rsidP="005574D6">
            <w:pPr>
              <w:spacing w:line="240" w:lineRule="auto"/>
              <w:jc w:val="center"/>
              <w:rPr>
                <w:b/>
                <w:bCs/>
              </w:rPr>
            </w:pPr>
            <w:r w:rsidRPr="005574D6">
              <w:rPr>
                <w:b/>
                <w:bCs/>
              </w:rPr>
              <w:t>Prevention Activity</w:t>
            </w:r>
          </w:p>
        </w:tc>
        <w:tc>
          <w:tcPr>
            <w:tcW w:w="1251" w:type="dxa"/>
            <w:vAlign w:val="center"/>
            <w:hideMark/>
          </w:tcPr>
          <w:p w14:paraId="32A44897" w14:textId="77777777" w:rsidR="005574D6" w:rsidRPr="005574D6" w:rsidRDefault="005574D6" w:rsidP="005574D6">
            <w:pPr>
              <w:spacing w:line="240" w:lineRule="auto"/>
              <w:jc w:val="center"/>
              <w:rPr>
                <w:b/>
                <w:bCs/>
              </w:rPr>
            </w:pPr>
            <w:r w:rsidRPr="005574D6">
              <w:rPr>
                <w:b/>
                <w:bCs/>
              </w:rPr>
              <w:t>July-September 2019</w:t>
            </w:r>
          </w:p>
        </w:tc>
        <w:tc>
          <w:tcPr>
            <w:tcW w:w="1217" w:type="dxa"/>
            <w:vAlign w:val="center"/>
            <w:hideMark/>
          </w:tcPr>
          <w:p w14:paraId="6381889E" w14:textId="77777777" w:rsidR="005574D6" w:rsidRPr="005574D6" w:rsidRDefault="005574D6" w:rsidP="005574D6">
            <w:pPr>
              <w:spacing w:line="240" w:lineRule="auto"/>
              <w:jc w:val="center"/>
              <w:rPr>
                <w:b/>
                <w:bCs/>
              </w:rPr>
            </w:pPr>
            <w:r w:rsidRPr="005574D6">
              <w:rPr>
                <w:b/>
                <w:bCs/>
              </w:rPr>
              <w:t>October-December 2019</w:t>
            </w:r>
          </w:p>
        </w:tc>
        <w:tc>
          <w:tcPr>
            <w:tcW w:w="992" w:type="dxa"/>
            <w:vAlign w:val="center"/>
            <w:hideMark/>
          </w:tcPr>
          <w:p w14:paraId="7B630557" w14:textId="77777777" w:rsidR="005574D6" w:rsidRPr="005574D6" w:rsidRDefault="005574D6" w:rsidP="005574D6">
            <w:pPr>
              <w:spacing w:line="240" w:lineRule="auto"/>
              <w:jc w:val="center"/>
              <w:rPr>
                <w:b/>
                <w:bCs/>
              </w:rPr>
            </w:pPr>
            <w:r w:rsidRPr="005574D6">
              <w:rPr>
                <w:b/>
                <w:bCs/>
              </w:rPr>
              <w:t>January-March 2020</w:t>
            </w:r>
          </w:p>
        </w:tc>
        <w:tc>
          <w:tcPr>
            <w:tcW w:w="971" w:type="dxa"/>
            <w:vAlign w:val="center"/>
            <w:hideMark/>
          </w:tcPr>
          <w:p w14:paraId="20D0C2AF" w14:textId="77777777" w:rsidR="005574D6" w:rsidRPr="005574D6" w:rsidRDefault="005574D6" w:rsidP="005574D6">
            <w:pPr>
              <w:spacing w:line="240" w:lineRule="auto"/>
              <w:jc w:val="center"/>
              <w:rPr>
                <w:b/>
                <w:bCs/>
              </w:rPr>
            </w:pPr>
            <w:r w:rsidRPr="005574D6">
              <w:rPr>
                <w:b/>
                <w:bCs/>
              </w:rPr>
              <w:t>April-June 2020</w:t>
            </w:r>
          </w:p>
        </w:tc>
        <w:tc>
          <w:tcPr>
            <w:tcW w:w="966" w:type="dxa"/>
            <w:vAlign w:val="center"/>
            <w:hideMark/>
          </w:tcPr>
          <w:p w14:paraId="03C97298" w14:textId="77777777" w:rsidR="005574D6" w:rsidRPr="005574D6" w:rsidRDefault="005574D6" w:rsidP="005574D6">
            <w:pPr>
              <w:spacing w:line="240" w:lineRule="auto"/>
              <w:jc w:val="center"/>
              <w:rPr>
                <w:b/>
                <w:bCs/>
              </w:rPr>
            </w:pPr>
            <w:r w:rsidRPr="005574D6">
              <w:rPr>
                <w:b/>
                <w:bCs/>
              </w:rPr>
              <w:t>Total</w:t>
            </w:r>
          </w:p>
        </w:tc>
      </w:tr>
      <w:tr w:rsidR="005574D6" w:rsidRPr="005574D6" w14:paraId="5BF9E50C" w14:textId="77777777" w:rsidTr="005574D6">
        <w:trPr>
          <w:trHeight w:val="338"/>
        </w:trPr>
        <w:tc>
          <w:tcPr>
            <w:tcW w:w="720" w:type="dxa"/>
            <w:vMerge w:val="restart"/>
            <w:noWrap/>
            <w:vAlign w:val="center"/>
            <w:hideMark/>
          </w:tcPr>
          <w:p w14:paraId="7A19C23D" w14:textId="77777777" w:rsidR="005574D6" w:rsidRPr="005574D6" w:rsidRDefault="005574D6" w:rsidP="005574D6">
            <w:pPr>
              <w:spacing w:line="240" w:lineRule="auto"/>
            </w:pPr>
            <w:r w:rsidRPr="005574D6">
              <w:t>Lurie</w:t>
            </w:r>
          </w:p>
        </w:tc>
        <w:tc>
          <w:tcPr>
            <w:tcW w:w="3418" w:type="dxa"/>
            <w:noWrap/>
            <w:hideMark/>
          </w:tcPr>
          <w:p w14:paraId="493DA614" w14:textId="5E8063D6" w:rsidR="005574D6" w:rsidRPr="005574D6" w:rsidRDefault="005574D6" w:rsidP="005574D6">
            <w:pPr>
              <w:spacing w:line="240" w:lineRule="auto"/>
            </w:pPr>
            <w:r w:rsidRPr="005574D6">
              <w:t>Comm</w:t>
            </w:r>
            <w:r>
              <w:t xml:space="preserve">unication Campaign - </w:t>
            </w:r>
            <w:r w:rsidRPr="005574D6">
              <w:t>Youth</w:t>
            </w:r>
          </w:p>
        </w:tc>
        <w:tc>
          <w:tcPr>
            <w:tcW w:w="1251" w:type="dxa"/>
            <w:noWrap/>
            <w:vAlign w:val="center"/>
            <w:hideMark/>
          </w:tcPr>
          <w:p w14:paraId="5D193A49" w14:textId="77777777" w:rsidR="005574D6" w:rsidRPr="005574D6" w:rsidRDefault="005574D6" w:rsidP="005574D6">
            <w:pPr>
              <w:spacing w:line="240" w:lineRule="auto"/>
              <w:jc w:val="center"/>
            </w:pPr>
            <w:r w:rsidRPr="005574D6">
              <w:t>69,629</w:t>
            </w:r>
          </w:p>
        </w:tc>
        <w:tc>
          <w:tcPr>
            <w:tcW w:w="1217" w:type="dxa"/>
            <w:noWrap/>
            <w:vAlign w:val="center"/>
            <w:hideMark/>
          </w:tcPr>
          <w:p w14:paraId="2BDDE760" w14:textId="77777777" w:rsidR="005574D6" w:rsidRPr="005574D6" w:rsidRDefault="005574D6" w:rsidP="005574D6">
            <w:pPr>
              <w:spacing w:line="240" w:lineRule="auto"/>
              <w:jc w:val="center"/>
            </w:pPr>
            <w:r w:rsidRPr="005574D6">
              <w:t>26,705</w:t>
            </w:r>
          </w:p>
        </w:tc>
        <w:tc>
          <w:tcPr>
            <w:tcW w:w="992" w:type="dxa"/>
            <w:vAlign w:val="center"/>
            <w:hideMark/>
          </w:tcPr>
          <w:p w14:paraId="7B021414" w14:textId="77777777" w:rsidR="005574D6" w:rsidRPr="005574D6" w:rsidRDefault="005574D6" w:rsidP="005574D6">
            <w:pPr>
              <w:spacing w:line="240" w:lineRule="auto"/>
              <w:jc w:val="center"/>
            </w:pPr>
            <w:r w:rsidRPr="005574D6">
              <w:t>1,500</w:t>
            </w:r>
          </w:p>
        </w:tc>
        <w:tc>
          <w:tcPr>
            <w:tcW w:w="971" w:type="dxa"/>
            <w:vAlign w:val="center"/>
            <w:hideMark/>
          </w:tcPr>
          <w:p w14:paraId="19C94B0A" w14:textId="77777777" w:rsidR="005574D6" w:rsidRPr="005574D6" w:rsidRDefault="005574D6" w:rsidP="005574D6">
            <w:pPr>
              <w:spacing w:line="240" w:lineRule="auto"/>
              <w:jc w:val="center"/>
            </w:pPr>
            <w:r w:rsidRPr="005574D6">
              <w:t>35,029</w:t>
            </w:r>
          </w:p>
        </w:tc>
        <w:tc>
          <w:tcPr>
            <w:tcW w:w="966" w:type="dxa"/>
            <w:noWrap/>
            <w:vAlign w:val="center"/>
            <w:hideMark/>
          </w:tcPr>
          <w:p w14:paraId="5A507734" w14:textId="77777777" w:rsidR="005574D6" w:rsidRPr="005574D6" w:rsidRDefault="005574D6" w:rsidP="005574D6">
            <w:pPr>
              <w:spacing w:line="240" w:lineRule="auto"/>
              <w:jc w:val="center"/>
            </w:pPr>
            <w:r w:rsidRPr="005574D6">
              <w:t>132,863</w:t>
            </w:r>
          </w:p>
        </w:tc>
      </w:tr>
      <w:tr w:rsidR="005574D6" w:rsidRPr="005574D6" w14:paraId="3E9C06F9" w14:textId="77777777" w:rsidTr="005574D6">
        <w:trPr>
          <w:trHeight w:val="338"/>
        </w:trPr>
        <w:tc>
          <w:tcPr>
            <w:tcW w:w="720" w:type="dxa"/>
            <w:vMerge/>
            <w:vAlign w:val="center"/>
            <w:hideMark/>
          </w:tcPr>
          <w:p w14:paraId="1CD4F16D" w14:textId="77777777" w:rsidR="005574D6" w:rsidRPr="005574D6" w:rsidRDefault="005574D6" w:rsidP="005574D6">
            <w:pPr>
              <w:spacing w:line="240" w:lineRule="auto"/>
            </w:pPr>
          </w:p>
        </w:tc>
        <w:tc>
          <w:tcPr>
            <w:tcW w:w="3418" w:type="dxa"/>
            <w:noWrap/>
            <w:hideMark/>
          </w:tcPr>
          <w:p w14:paraId="303EA3F0" w14:textId="77777777" w:rsidR="005574D6" w:rsidRPr="005574D6" w:rsidRDefault="005574D6" w:rsidP="005574D6">
            <w:pPr>
              <w:spacing w:line="240" w:lineRule="auto"/>
            </w:pPr>
            <w:r w:rsidRPr="005574D6">
              <w:t>School Policy</w:t>
            </w:r>
          </w:p>
        </w:tc>
        <w:tc>
          <w:tcPr>
            <w:tcW w:w="1251" w:type="dxa"/>
            <w:noWrap/>
            <w:vAlign w:val="center"/>
            <w:hideMark/>
          </w:tcPr>
          <w:p w14:paraId="6E23F0A5" w14:textId="77777777" w:rsidR="005574D6" w:rsidRPr="005574D6" w:rsidRDefault="005574D6" w:rsidP="005574D6">
            <w:pPr>
              <w:spacing w:line="240" w:lineRule="auto"/>
              <w:jc w:val="center"/>
            </w:pPr>
            <w:r w:rsidRPr="005574D6">
              <w:t>156,979</w:t>
            </w:r>
          </w:p>
        </w:tc>
        <w:tc>
          <w:tcPr>
            <w:tcW w:w="1217" w:type="dxa"/>
            <w:noWrap/>
            <w:vAlign w:val="center"/>
            <w:hideMark/>
          </w:tcPr>
          <w:p w14:paraId="73D3EE90" w14:textId="77777777" w:rsidR="005574D6" w:rsidRPr="005574D6" w:rsidRDefault="005574D6" w:rsidP="005574D6">
            <w:pPr>
              <w:spacing w:line="240" w:lineRule="auto"/>
              <w:jc w:val="center"/>
            </w:pPr>
            <w:r w:rsidRPr="005574D6">
              <w:t>3</w:t>
            </w:r>
          </w:p>
        </w:tc>
        <w:tc>
          <w:tcPr>
            <w:tcW w:w="992" w:type="dxa"/>
            <w:vAlign w:val="center"/>
            <w:hideMark/>
          </w:tcPr>
          <w:p w14:paraId="2473F7A3" w14:textId="77777777" w:rsidR="005574D6" w:rsidRPr="005574D6" w:rsidRDefault="005574D6" w:rsidP="005574D6">
            <w:pPr>
              <w:spacing w:line="240" w:lineRule="auto"/>
              <w:jc w:val="center"/>
            </w:pPr>
            <w:r w:rsidRPr="005574D6">
              <w:t>2</w:t>
            </w:r>
          </w:p>
        </w:tc>
        <w:tc>
          <w:tcPr>
            <w:tcW w:w="971" w:type="dxa"/>
            <w:vAlign w:val="center"/>
            <w:hideMark/>
          </w:tcPr>
          <w:p w14:paraId="0FEFDC4B" w14:textId="77777777" w:rsidR="005574D6" w:rsidRPr="005574D6" w:rsidRDefault="005574D6" w:rsidP="005574D6">
            <w:pPr>
              <w:spacing w:line="240" w:lineRule="auto"/>
              <w:jc w:val="center"/>
            </w:pPr>
            <w:r w:rsidRPr="005574D6">
              <w:t>0</w:t>
            </w:r>
          </w:p>
        </w:tc>
        <w:tc>
          <w:tcPr>
            <w:tcW w:w="966" w:type="dxa"/>
            <w:noWrap/>
            <w:vAlign w:val="center"/>
            <w:hideMark/>
          </w:tcPr>
          <w:p w14:paraId="7FE2E5EF" w14:textId="77777777" w:rsidR="005574D6" w:rsidRPr="005574D6" w:rsidRDefault="005574D6" w:rsidP="005574D6">
            <w:pPr>
              <w:spacing w:line="240" w:lineRule="auto"/>
              <w:jc w:val="center"/>
            </w:pPr>
            <w:r w:rsidRPr="005574D6">
              <w:t>156,984</w:t>
            </w:r>
          </w:p>
        </w:tc>
      </w:tr>
      <w:tr w:rsidR="005574D6" w:rsidRPr="005574D6" w14:paraId="033224D8" w14:textId="77777777" w:rsidTr="005574D6">
        <w:trPr>
          <w:trHeight w:val="338"/>
        </w:trPr>
        <w:tc>
          <w:tcPr>
            <w:tcW w:w="720" w:type="dxa"/>
            <w:vMerge/>
            <w:vAlign w:val="center"/>
            <w:hideMark/>
          </w:tcPr>
          <w:p w14:paraId="02C44FC2" w14:textId="77777777" w:rsidR="005574D6" w:rsidRPr="005574D6" w:rsidRDefault="005574D6" w:rsidP="005574D6">
            <w:pPr>
              <w:spacing w:line="240" w:lineRule="auto"/>
            </w:pPr>
          </w:p>
        </w:tc>
        <w:tc>
          <w:tcPr>
            <w:tcW w:w="3418" w:type="dxa"/>
            <w:noWrap/>
            <w:hideMark/>
          </w:tcPr>
          <w:p w14:paraId="40347C06" w14:textId="3625A834" w:rsidR="005574D6" w:rsidRPr="005574D6" w:rsidRDefault="005574D6" w:rsidP="005574D6">
            <w:pPr>
              <w:spacing w:line="240" w:lineRule="auto"/>
            </w:pPr>
            <w:r w:rsidRPr="005574D6">
              <w:t>Comm</w:t>
            </w:r>
            <w:r>
              <w:t xml:space="preserve">unication Campaign - </w:t>
            </w:r>
            <w:r w:rsidRPr="005574D6">
              <w:t>Parent</w:t>
            </w:r>
          </w:p>
        </w:tc>
        <w:tc>
          <w:tcPr>
            <w:tcW w:w="1251" w:type="dxa"/>
            <w:noWrap/>
            <w:vAlign w:val="center"/>
            <w:hideMark/>
          </w:tcPr>
          <w:p w14:paraId="3886D503" w14:textId="77777777" w:rsidR="005574D6" w:rsidRPr="005574D6" w:rsidRDefault="005574D6" w:rsidP="005574D6">
            <w:pPr>
              <w:spacing w:line="240" w:lineRule="auto"/>
              <w:jc w:val="center"/>
            </w:pPr>
            <w:r w:rsidRPr="005574D6">
              <w:t>21,142</w:t>
            </w:r>
          </w:p>
        </w:tc>
        <w:tc>
          <w:tcPr>
            <w:tcW w:w="1217" w:type="dxa"/>
            <w:noWrap/>
            <w:vAlign w:val="center"/>
            <w:hideMark/>
          </w:tcPr>
          <w:p w14:paraId="27A6B4F9" w14:textId="77777777" w:rsidR="005574D6" w:rsidRPr="005574D6" w:rsidRDefault="005574D6" w:rsidP="005574D6">
            <w:pPr>
              <w:spacing w:line="240" w:lineRule="auto"/>
              <w:jc w:val="center"/>
            </w:pPr>
            <w:r w:rsidRPr="005574D6">
              <w:t>6,567</w:t>
            </w:r>
          </w:p>
        </w:tc>
        <w:tc>
          <w:tcPr>
            <w:tcW w:w="992" w:type="dxa"/>
            <w:vAlign w:val="center"/>
            <w:hideMark/>
          </w:tcPr>
          <w:p w14:paraId="417988FA" w14:textId="77777777" w:rsidR="005574D6" w:rsidRPr="005574D6" w:rsidRDefault="005574D6" w:rsidP="005574D6">
            <w:pPr>
              <w:spacing w:line="240" w:lineRule="auto"/>
              <w:jc w:val="center"/>
            </w:pPr>
            <w:r w:rsidRPr="005574D6">
              <w:t>18,568</w:t>
            </w:r>
          </w:p>
        </w:tc>
        <w:tc>
          <w:tcPr>
            <w:tcW w:w="971" w:type="dxa"/>
            <w:vAlign w:val="center"/>
            <w:hideMark/>
          </w:tcPr>
          <w:p w14:paraId="6E88B476" w14:textId="77777777" w:rsidR="005574D6" w:rsidRPr="005574D6" w:rsidRDefault="005574D6" w:rsidP="005574D6">
            <w:pPr>
              <w:spacing w:line="240" w:lineRule="auto"/>
              <w:jc w:val="center"/>
            </w:pPr>
            <w:r w:rsidRPr="005574D6">
              <w:t>31,516</w:t>
            </w:r>
          </w:p>
        </w:tc>
        <w:tc>
          <w:tcPr>
            <w:tcW w:w="966" w:type="dxa"/>
            <w:noWrap/>
            <w:vAlign w:val="center"/>
            <w:hideMark/>
          </w:tcPr>
          <w:p w14:paraId="0D800450" w14:textId="77777777" w:rsidR="005574D6" w:rsidRPr="005574D6" w:rsidRDefault="005574D6" w:rsidP="005574D6">
            <w:pPr>
              <w:spacing w:line="240" w:lineRule="auto"/>
              <w:jc w:val="center"/>
            </w:pPr>
            <w:r w:rsidRPr="005574D6">
              <w:t>77,793</w:t>
            </w:r>
          </w:p>
        </w:tc>
      </w:tr>
      <w:tr w:rsidR="005574D6" w:rsidRPr="005574D6" w14:paraId="5D7802AE" w14:textId="77777777" w:rsidTr="005574D6">
        <w:trPr>
          <w:trHeight w:val="338"/>
        </w:trPr>
        <w:tc>
          <w:tcPr>
            <w:tcW w:w="720" w:type="dxa"/>
            <w:vMerge w:val="restart"/>
            <w:shd w:val="clear" w:color="auto" w:fill="D9D9D9" w:themeFill="background1" w:themeFillShade="D9"/>
            <w:noWrap/>
            <w:vAlign w:val="center"/>
            <w:hideMark/>
          </w:tcPr>
          <w:p w14:paraId="35BC134A" w14:textId="77777777" w:rsidR="005574D6" w:rsidRPr="005574D6" w:rsidRDefault="005574D6" w:rsidP="005574D6">
            <w:pPr>
              <w:spacing w:line="240" w:lineRule="auto"/>
            </w:pPr>
            <w:r w:rsidRPr="005574D6">
              <w:t>IKAN</w:t>
            </w:r>
          </w:p>
        </w:tc>
        <w:tc>
          <w:tcPr>
            <w:tcW w:w="3418" w:type="dxa"/>
            <w:shd w:val="clear" w:color="auto" w:fill="D9D9D9" w:themeFill="background1" w:themeFillShade="D9"/>
            <w:hideMark/>
          </w:tcPr>
          <w:p w14:paraId="0B3CC6CB" w14:textId="319868F7" w:rsidR="005574D6" w:rsidRPr="005574D6" w:rsidRDefault="005574D6" w:rsidP="005574D6">
            <w:pPr>
              <w:spacing w:line="240" w:lineRule="auto"/>
            </w:pPr>
            <w:r w:rsidRPr="005574D6">
              <w:t>Comm</w:t>
            </w:r>
            <w:r>
              <w:t xml:space="preserve">unication Campaign - </w:t>
            </w:r>
            <w:r w:rsidRPr="005574D6">
              <w:t>Parent</w:t>
            </w:r>
          </w:p>
        </w:tc>
        <w:tc>
          <w:tcPr>
            <w:tcW w:w="1251" w:type="dxa"/>
            <w:shd w:val="clear" w:color="auto" w:fill="D9D9D9" w:themeFill="background1" w:themeFillShade="D9"/>
            <w:vAlign w:val="center"/>
            <w:hideMark/>
          </w:tcPr>
          <w:p w14:paraId="35A31A1C" w14:textId="77777777" w:rsidR="005574D6" w:rsidRPr="005574D6" w:rsidRDefault="005574D6" w:rsidP="005574D6">
            <w:pPr>
              <w:spacing w:line="240" w:lineRule="auto"/>
              <w:jc w:val="center"/>
            </w:pPr>
            <w:r w:rsidRPr="005574D6">
              <w:t>6,793</w:t>
            </w:r>
          </w:p>
        </w:tc>
        <w:tc>
          <w:tcPr>
            <w:tcW w:w="1217" w:type="dxa"/>
            <w:shd w:val="clear" w:color="auto" w:fill="D9D9D9" w:themeFill="background1" w:themeFillShade="D9"/>
            <w:vAlign w:val="center"/>
            <w:hideMark/>
          </w:tcPr>
          <w:p w14:paraId="4D2D7F22" w14:textId="77777777" w:rsidR="005574D6" w:rsidRPr="005574D6" w:rsidRDefault="005574D6" w:rsidP="005574D6">
            <w:pPr>
              <w:spacing w:line="240" w:lineRule="auto"/>
              <w:jc w:val="center"/>
            </w:pPr>
            <w:r w:rsidRPr="005574D6">
              <w:t>19,398</w:t>
            </w:r>
          </w:p>
        </w:tc>
        <w:tc>
          <w:tcPr>
            <w:tcW w:w="992" w:type="dxa"/>
            <w:shd w:val="clear" w:color="auto" w:fill="D9D9D9" w:themeFill="background1" w:themeFillShade="D9"/>
            <w:vAlign w:val="center"/>
            <w:hideMark/>
          </w:tcPr>
          <w:p w14:paraId="657328D2" w14:textId="77777777" w:rsidR="005574D6" w:rsidRPr="005574D6" w:rsidRDefault="005574D6" w:rsidP="005574D6">
            <w:pPr>
              <w:spacing w:line="240" w:lineRule="auto"/>
              <w:jc w:val="center"/>
            </w:pPr>
            <w:r w:rsidRPr="005574D6">
              <w:t>14</w:t>
            </w:r>
          </w:p>
        </w:tc>
        <w:tc>
          <w:tcPr>
            <w:tcW w:w="971" w:type="dxa"/>
            <w:shd w:val="clear" w:color="auto" w:fill="D9D9D9" w:themeFill="background1" w:themeFillShade="D9"/>
            <w:vAlign w:val="center"/>
            <w:hideMark/>
          </w:tcPr>
          <w:p w14:paraId="0DF1E898" w14:textId="77777777" w:rsidR="005574D6" w:rsidRPr="005574D6" w:rsidRDefault="005574D6" w:rsidP="005574D6">
            <w:pPr>
              <w:spacing w:line="240" w:lineRule="auto"/>
              <w:jc w:val="center"/>
            </w:pPr>
            <w:r w:rsidRPr="005574D6">
              <w:t>57,750</w:t>
            </w:r>
          </w:p>
        </w:tc>
        <w:tc>
          <w:tcPr>
            <w:tcW w:w="966" w:type="dxa"/>
            <w:shd w:val="clear" w:color="auto" w:fill="D9D9D9" w:themeFill="background1" w:themeFillShade="D9"/>
            <w:noWrap/>
            <w:vAlign w:val="center"/>
            <w:hideMark/>
          </w:tcPr>
          <w:p w14:paraId="1474BCB4" w14:textId="77777777" w:rsidR="005574D6" w:rsidRPr="005574D6" w:rsidRDefault="005574D6" w:rsidP="005574D6">
            <w:pPr>
              <w:spacing w:line="240" w:lineRule="auto"/>
              <w:jc w:val="center"/>
            </w:pPr>
            <w:r w:rsidRPr="005574D6">
              <w:t>83,955</w:t>
            </w:r>
          </w:p>
        </w:tc>
      </w:tr>
      <w:tr w:rsidR="005574D6" w:rsidRPr="005574D6" w14:paraId="3D779973" w14:textId="77777777" w:rsidTr="005574D6">
        <w:trPr>
          <w:trHeight w:val="338"/>
        </w:trPr>
        <w:tc>
          <w:tcPr>
            <w:tcW w:w="720" w:type="dxa"/>
            <w:vMerge/>
            <w:shd w:val="clear" w:color="auto" w:fill="D9D9D9" w:themeFill="background1" w:themeFillShade="D9"/>
            <w:vAlign w:val="center"/>
            <w:hideMark/>
          </w:tcPr>
          <w:p w14:paraId="600BBD61" w14:textId="77777777" w:rsidR="005574D6" w:rsidRPr="005574D6" w:rsidRDefault="005574D6" w:rsidP="005574D6">
            <w:pPr>
              <w:spacing w:line="240" w:lineRule="auto"/>
            </w:pPr>
          </w:p>
        </w:tc>
        <w:tc>
          <w:tcPr>
            <w:tcW w:w="3418" w:type="dxa"/>
            <w:shd w:val="clear" w:color="auto" w:fill="D9D9D9" w:themeFill="background1" w:themeFillShade="D9"/>
            <w:hideMark/>
          </w:tcPr>
          <w:p w14:paraId="3D6D08DB" w14:textId="03734254" w:rsidR="005574D6" w:rsidRPr="005574D6" w:rsidRDefault="005574D6" w:rsidP="005574D6">
            <w:pPr>
              <w:spacing w:line="240" w:lineRule="auto"/>
            </w:pPr>
            <w:r w:rsidRPr="005574D6">
              <w:t>Project Towards No Drug Abuse</w:t>
            </w:r>
          </w:p>
        </w:tc>
        <w:tc>
          <w:tcPr>
            <w:tcW w:w="1251" w:type="dxa"/>
            <w:shd w:val="clear" w:color="auto" w:fill="D9D9D9" w:themeFill="background1" w:themeFillShade="D9"/>
            <w:vAlign w:val="center"/>
            <w:hideMark/>
          </w:tcPr>
          <w:p w14:paraId="1AF99280" w14:textId="77777777" w:rsidR="005574D6" w:rsidRPr="005574D6" w:rsidRDefault="005574D6" w:rsidP="005574D6">
            <w:pPr>
              <w:spacing w:line="240" w:lineRule="auto"/>
              <w:jc w:val="center"/>
            </w:pPr>
            <w:r w:rsidRPr="005574D6">
              <w:t>0</w:t>
            </w:r>
          </w:p>
        </w:tc>
        <w:tc>
          <w:tcPr>
            <w:tcW w:w="1217" w:type="dxa"/>
            <w:shd w:val="clear" w:color="auto" w:fill="D9D9D9" w:themeFill="background1" w:themeFillShade="D9"/>
            <w:vAlign w:val="center"/>
            <w:hideMark/>
          </w:tcPr>
          <w:p w14:paraId="73760347" w14:textId="77777777" w:rsidR="005574D6" w:rsidRPr="005574D6" w:rsidRDefault="005574D6" w:rsidP="005574D6">
            <w:pPr>
              <w:spacing w:line="240" w:lineRule="auto"/>
              <w:jc w:val="center"/>
            </w:pPr>
            <w:r w:rsidRPr="005574D6">
              <w:t>80</w:t>
            </w:r>
          </w:p>
        </w:tc>
        <w:tc>
          <w:tcPr>
            <w:tcW w:w="992" w:type="dxa"/>
            <w:shd w:val="clear" w:color="auto" w:fill="D9D9D9" w:themeFill="background1" w:themeFillShade="D9"/>
            <w:vAlign w:val="center"/>
            <w:hideMark/>
          </w:tcPr>
          <w:p w14:paraId="11689F46" w14:textId="77777777" w:rsidR="005574D6" w:rsidRPr="005574D6" w:rsidRDefault="005574D6" w:rsidP="005574D6">
            <w:pPr>
              <w:spacing w:line="240" w:lineRule="auto"/>
              <w:jc w:val="center"/>
            </w:pPr>
            <w:r w:rsidRPr="005574D6">
              <w:t>93</w:t>
            </w:r>
          </w:p>
        </w:tc>
        <w:tc>
          <w:tcPr>
            <w:tcW w:w="971" w:type="dxa"/>
            <w:shd w:val="clear" w:color="auto" w:fill="D9D9D9" w:themeFill="background1" w:themeFillShade="D9"/>
            <w:vAlign w:val="center"/>
            <w:hideMark/>
          </w:tcPr>
          <w:p w14:paraId="75B30A3B" w14:textId="77777777" w:rsidR="005574D6" w:rsidRPr="005574D6" w:rsidRDefault="005574D6" w:rsidP="005574D6">
            <w:pPr>
              <w:spacing w:line="240" w:lineRule="auto"/>
              <w:jc w:val="center"/>
            </w:pPr>
            <w:r w:rsidRPr="005574D6">
              <w:t>0</w:t>
            </w:r>
          </w:p>
        </w:tc>
        <w:tc>
          <w:tcPr>
            <w:tcW w:w="966" w:type="dxa"/>
            <w:shd w:val="clear" w:color="auto" w:fill="D9D9D9" w:themeFill="background1" w:themeFillShade="D9"/>
            <w:noWrap/>
            <w:vAlign w:val="center"/>
            <w:hideMark/>
          </w:tcPr>
          <w:p w14:paraId="709C7669" w14:textId="77777777" w:rsidR="005574D6" w:rsidRPr="005574D6" w:rsidRDefault="005574D6" w:rsidP="005574D6">
            <w:pPr>
              <w:spacing w:line="240" w:lineRule="auto"/>
              <w:jc w:val="center"/>
            </w:pPr>
            <w:r w:rsidRPr="005574D6">
              <w:t>173</w:t>
            </w:r>
          </w:p>
        </w:tc>
      </w:tr>
      <w:tr w:rsidR="005574D6" w:rsidRPr="005574D6" w14:paraId="056A3FCA" w14:textId="77777777" w:rsidTr="005574D6">
        <w:trPr>
          <w:trHeight w:val="338"/>
        </w:trPr>
        <w:tc>
          <w:tcPr>
            <w:tcW w:w="720" w:type="dxa"/>
            <w:vMerge/>
            <w:shd w:val="clear" w:color="auto" w:fill="D9D9D9" w:themeFill="background1" w:themeFillShade="D9"/>
            <w:vAlign w:val="center"/>
            <w:hideMark/>
          </w:tcPr>
          <w:p w14:paraId="30469BA2" w14:textId="77777777" w:rsidR="005574D6" w:rsidRPr="005574D6" w:rsidRDefault="005574D6" w:rsidP="005574D6">
            <w:pPr>
              <w:spacing w:line="240" w:lineRule="auto"/>
            </w:pPr>
          </w:p>
        </w:tc>
        <w:tc>
          <w:tcPr>
            <w:tcW w:w="3418" w:type="dxa"/>
            <w:shd w:val="clear" w:color="auto" w:fill="D9D9D9" w:themeFill="background1" w:themeFillShade="D9"/>
            <w:hideMark/>
          </w:tcPr>
          <w:p w14:paraId="1FCD5AF0" w14:textId="0E2E6FFF" w:rsidR="005574D6" w:rsidRPr="005574D6" w:rsidRDefault="005574D6" w:rsidP="005574D6">
            <w:pPr>
              <w:spacing w:line="240" w:lineRule="auto"/>
            </w:pPr>
            <w:r w:rsidRPr="005574D6">
              <w:t>Too Good for Drugs</w:t>
            </w:r>
          </w:p>
        </w:tc>
        <w:tc>
          <w:tcPr>
            <w:tcW w:w="1251" w:type="dxa"/>
            <w:shd w:val="clear" w:color="auto" w:fill="D9D9D9" w:themeFill="background1" w:themeFillShade="D9"/>
            <w:vAlign w:val="center"/>
            <w:hideMark/>
          </w:tcPr>
          <w:p w14:paraId="24266ECC" w14:textId="77777777" w:rsidR="005574D6" w:rsidRPr="005574D6" w:rsidRDefault="005574D6" w:rsidP="005574D6">
            <w:pPr>
              <w:spacing w:line="240" w:lineRule="auto"/>
              <w:jc w:val="center"/>
            </w:pPr>
            <w:r w:rsidRPr="005574D6">
              <w:t>0</w:t>
            </w:r>
          </w:p>
        </w:tc>
        <w:tc>
          <w:tcPr>
            <w:tcW w:w="1217" w:type="dxa"/>
            <w:shd w:val="clear" w:color="auto" w:fill="D9D9D9" w:themeFill="background1" w:themeFillShade="D9"/>
            <w:vAlign w:val="center"/>
            <w:hideMark/>
          </w:tcPr>
          <w:p w14:paraId="71755821" w14:textId="77777777" w:rsidR="005574D6" w:rsidRPr="005574D6" w:rsidRDefault="005574D6" w:rsidP="005574D6">
            <w:pPr>
              <w:spacing w:line="240" w:lineRule="auto"/>
              <w:jc w:val="center"/>
            </w:pPr>
            <w:r w:rsidRPr="005574D6">
              <w:t>108</w:t>
            </w:r>
          </w:p>
        </w:tc>
        <w:tc>
          <w:tcPr>
            <w:tcW w:w="992" w:type="dxa"/>
            <w:shd w:val="clear" w:color="auto" w:fill="D9D9D9" w:themeFill="background1" w:themeFillShade="D9"/>
            <w:vAlign w:val="center"/>
            <w:hideMark/>
          </w:tcPr>
          <w:p w14:paraId="3DC2E9E4" w14:textId="77777777" w:rsidR="005574D6" w:rsidRPr="005574D6" w:rsidRDefault="005574D6" w:rsidP="005574D6">
            <w:pPr>
              <w:spacing w:line="240" w:lineRule="auto"/>
              <w:jc w:val="center"/>
            </w:pPr>
            <w:r w:rsidRPr="005574D6">
              <w:t>378</w:t>
            </w:r>
          </w:p>
        </w:tc>
        <w:tc>
          <w:tcPr>
            <w:tcW w:w="971" w:type="dxa"/>
            <w:shd w:val="clear" w:color="auto" w:fill="D9D9D9" w:themeFill="background1" w:themeFillShade="D9"/>
            <w:vAlign w:val="center"/>
            <w:hideMark/>
          </w:tcPr>
          <w:p w14:paraId="7993AC10" w14:textId="77777777" w:rsidR="005574D6" w:rsidRPr="005574D6" w:rsidRDefault="005574D6" w:rsidP="005574D6">
            <w:pPr>
              <w:spacing w:line="240" w:lineRule="auto"/>
              <w:jc w:val="center"/>
            </w:pPr>
            <w:r w:rsidRPr="005574D6">
              <w:t>85</w:t>
            </w:r>
          </w:p>
        </w:tc>
        <w:tc>
          <w:tcPr>
            <w:tcW w:w="966" w:type="dxa"/>
            <w:shd w:val="clear" w:color="auto" w:fill="D9D9D9" w:themeFill="background1" w:themeFillShade="D9"/>
            <w:noWrap/>
            <w:vAlign w:val="center"/>
            <w:hideMark/>
          </w:tcPr>
          <w:p w14:paraId="313CD2A8" w14:textId="77777777" w:rsidR="005574D6" w:rsidRPr="005574D6" w:rsidRDefault="005574D6" w:rsidP="005574D6">
            <w:pPr>
              <w:spacing w:line="240" w:lineRule="auto"/>
              <w:jc w:val="center"/>
            </w:pPr>
            <w:r w:rsidRPr="005574D6">
              <w:t>571</w:t>
            </w:r>
          </w:p>
        </w:tc>
      </w:tr>
      <w:tr w:rsidR="005574D6" w:rsidRPr="005574D6" w14:paraId="75EE1EC3" w14:textId="77777777" w:rsidTr="005574D6">
        <w:trPr>
          <w:trHeight w:val="338"/>
        </w:trPr>
        <w:tc>
          <w:tcPr>
            <w:tcW w:w="720" w:type="dxa"/>
            <w:vMerge w:val="restart"/>
            <w:noWrap/>
            <w:vAlign w:val="center"/>
            <w:hideMark/>
          </w:tcPr>
          <w:p w14:paraId="581DEA2B" w14:textId="77777777" w:rsidR="005574D6" w:rsidRPr="005574D6" w:rsidRDefault="005574D6" w:rsidP="005574D6">
            <w:pPr>
              <w:spacing w:line="240" w:lineRule="auto"/>
            </w:pPr>
            <w:r w:rsidRPr="005574D6">
              <w:t>FHN</w:t>
            </w:r>
          </w:p>
        </w:tc>
        <w:tc>
          <w:tcPr>
            <w:tcW w:w="3418" w:type="dxa"/>
            <w:noWrap/>
            <w:hideMark/>
          </w:tcPr>
          <w:p w14:paraId="0EAD5FE5" w14:textId="39CAE318" w:rsidR="005574D6" w:rsidRPr="005574D6" w:rsidRDefault="005574D6" w:rsidP="005574D6">
            <w:pPr>
              <w:spacing w:line="240" w:lineRule="auto"/>
            </w:pPr>
            <w:r w:rsidRPr="005574D6">
              <w:t>All Stars</w:t>
            </w:r>
          </w:p>
        </w:tc>
        <w:tc>
          <w:tcPr>
            <w:tcW w:w="1251" w:type="dxa"/>
            <w:vAlign w:val="center"/>
            <w:hideMark/>
          </w:tcPr>
          <w:p w14:paraId="2C4499BA" w14:textId="77777777" w:rsidR="005574D6" w:rsidRPr="005574D6" w:rsidRDefault="005574D6" w:rsidP="005574D6">
            <w:pPr>
              <w:spacing w:line="240" w:lineRule="auto"/>
              <w:jc w:val="center"/>
            </w:pPr>
            <w:r w:rsidRPr="005574D6">
              <w:t>42</w:t>
            </w:r>
          </w:p>
        </w:tc>
        <w:tc>
          <w:tcPr>
            <w:tcW w:w="1217" w:type="dxa"/>
            <w:vAlign w:val="center"/>
            <w:hideMark/>
          </w:tcPr>
          <w:p w14:paraId="5ECA3DA0" w14:textId="77777777" w:rsidR="005574D6" w:rsidRPr="005574D6" w:rsidRDefault="005574D6" w:rsidP="005574D6">
            <w:pPr>
              <w:spacing w:line="240" w:lineRule="auto"/>
              <w:jc w:val="center"/>
            </w:pPr>
            <w:r w:rsidRPr="005574D6">
              <w:t>170</w:t>
            </w:r>
          </w:p>
        </w:tc>
        <w:tc>
          <w:tcPr>
            <w:tcW w:w="992" w:type="dxa"/>
            <w:vAlign w:val="center"/>
            <w:hideMark/>
          </w:tcPr>
          <w:p w14:paraId="0FAB00CA" w14:textId="77777777" w:rsidR="005574D6" w:rsidRPr="005574D6" w:rsidRDefault="005574D6" w:rsidP="005574D6">
            <w:pPr>
              <w:spacing w:line="240" w:lineRule="auto"/>
              <w:jc w:val="center"/>
            </w:pPr>
            <w:r w:rsidRPr="005574D6">
              <w:t>111</w:t>
            </w:r>
          </w:p>
        </w:tc>
        <w:tc>
          <w:tcPr>
            <w:tcW w:w="971" w:type="dxa"/>
            <w:vAlign w:val="center"/>
            <w:hideMark/>
          </w:tcPr>
          <w:p w14:paraId="2E49FACF" w14:textId="77777777" w:rsidR="005574D6" w:rsidRPr="005574D6" w:rsidRDefault="005574D6" w:rsidP="005574D6">
            <w:pPr>
              <w:spacing w:line="240" w:lineRule="auto"/>
              <w:jc w:val="center"/>
            </w:pPr>
            <w:r w:rsidRPr="005574D6">
              <w:t>0</w:t>
            </w:r>
          </w:p>
        </w:tc>
        <w:tc>
          <w:tcPr>
            <w:tcW w:w="966" w:type="dxa"/>
            <w:noWrap/>
            <w:vAlign w:val="center"/>
            <w:hideMark/>
          </w:tcPr>
          <w:p w14:paraId="67279E3B" w14:textId="77777777" w:rsidR="005574D6" w:rsidRPr="005574D6" w:rsidRDefault="005574D6" w:rsidP="005574D6">
            <w:pPr>
              <w:spacing w:line="240" w:lineRule="auto"/>
              <w:jc w:val="center"/>
            </w:pPr>
            <w:r w:rsidRPr="005574D6">
              <w:t>323</w:t>
            </w:r>
          </w:p>
        </w:tc>
      </w:tr>
      <w:tr w:rsidR="005574D6" w:rsidRPr="005574D6" w14:paraId="0833BB8B" w14:textId="77777777" w:rsidTr="005574D6">
        <w:trPr>
          <w:trHeight w:val="338"/>
        </w:trPr>
        <w:tc>
          <w:tcPr>
            <w:tcW w:w="720" w:type="dxa"/>
            <w:vMerge/>
            <w:vAlign w:val="center"/>
            <w:hideMark/>
          </w:tcPr>
          <w:p w14:paraId="4B1F1D2B" w14:textId="77777777" w:rsidR="005574D6" w:rsidRPr="005574D6" w:rsidRDefault="005574D6" w:rsidP="005574D6">
            <w:pPr>
              <w:spacing w:line="240" w:lineRule="auto"/>
            </w:pPr>
          </w:p>
        </w:tc>
        <w:tc>
          <w:tcPr>
            <w:tcW w:w="3418" w:type="dxa"/>
            <w:hideMark/>
          </w:tcPr>
          <w:p w14:paraId="03AEDE0E" w14:textId="6CCDF9C2" w:rsidR="005574D6" w:rsidRPr="005574D6" w:rsidRDefault="005574D6" w:rsidP="005574D6">
            <w:pPr>
              <w:spacing w:line="240" w:lineRule="auto"/>
            </w:pPr>
            <w:r w:rsidRPr="005574D6">
              <w:t>Comm</w:t>
            </w:r>
            <w:r>
              <w:t xml:space="preserve">unication Campaign - </w:t>
            </w:r>
            <w:r w:rsidRPr="005574D6">
              <w:t>Parent</w:t>
            </w:r>
          </w:p>
        </w:tc>
        <w:tc>
          <w:tcPr>
            <w:tcW w:w="1251" w:type="dxa"/>
            <w:noWrap/>
            <w:vAlign w:val="center"/>
            <w:hideMark/>
          </w:tcPr>
          <w:p w14:paraId="668973FC" w14:textId="77777777" w:rsidR="005574D6" w:rsidRPr="005574D6" w:rsidRDefault="005574D6" w:rsidP="005574D6">
            <w:pPr>
              <w:spacing w:line="240" w:lineRule="auto"/>
              <w:jc w:val="center"/>
            </w:pPr>
            <w:r w:rsidRPr="005574D6">
              <w:t>13,700</w:t>
            </w:r>
          </w:p>
        </w:tc>
        <w:tc>
          <w:tcPr>
            <w:tcW w:w="1217" w:type="dxa"/>
            <w:noWrap/>
            <w:vAlign w:val="center"/>
            <w:hideMark/>
          </w:tcPr>
          <w:p w14:paraId="42336D87" w14:textId="77777777" w:rsidR="005574D6" w:rsidRPr="005574D6" w:rsidRDefault="005574D6" w:rsidP="005574D6">
            <w:pPr>
              <w:spacing w:line="240" w:lineRule="auto"/>
              <w:jc w:val="center"/>
            </w:pPr>
            <w:r w:rsidRPr="005574D6">
              <w:t>1,449</w:t>
            </w:r>
          </w:p>
        </w:tc>
        <w:tc>
          <w:tcPr>
            <w:tcW w:w="992" w:type="dxa"/>
            <w:noWrap/>
            <w:vAlign w:val="center"/>
            <w:hideMark/>
          </w:tcPr>
          <w:p w14:paraId="49FDABDC" w14:textId="77777777" w:rsidR="005574D6" w:rsidRPr="005574D6" w:rsidRDefault="005574D6" w:rsidP="005574D6">
            <w:pPr>
              <w:spacing w:line="240" w:lineRule="auto"/>
              <w:jc w:val="center"/>
            </w:pPr>
            <w:r w:rsidRPr="005574D6">
              <w:t>1</w:t>
            </w:r>
          </w:p>
        </w:tc>
        <w:tc>
          <w:tcPr>
            <w:tcW w:w="971" w:type="dxa"/>
            <w:noWrap/>
            <w:vAlign w:val="center"/>
            <w:hideMark/>
          </w:tcPr>
          <w:p w14:paraId="23B6EC44" w14:textId="77777777" w:rsidR="005574D6" w:rsidRPr="005574D6" w:rsidRDefault="005574D6" w:rsidP="005574D6">
            <w:pPr>
              <w:spacing w:line="240" w:lineRule="auto"/>
              <w:jc w:val="center"/>
            </w:pPr>
            <w:r w:rsidRPr="005574D6">
              <w:t>2</w:t>
            </w:r>
          </w:p>
        </w:tc>
        <w:tc>
          <w:tcPr>
            <w:tcW w:w="966" w:type="dxa"/>
            <w:noWrap/>
            <w:vAlign w:val="center"/>
            <w:hideMark/>
          </w:tcPr>
          <w:p w14:paraId="3B92C246" w14:textId="77777777" w:rsidR="005574D6" w:rsidRPr="005574D6" w:rsidRDefault="005574D6" w:rsidP="005574D6">
            <w:pPr>
              <w:spacing w:line="240" w:lineRule="auto"/>
              <w:jc w:val="center"/>
            </w:pPr>
            <w:r w:rsidRPr="005574D6">
              <w:t>15,152</w:t>
            </w:r>
          </w:p>
        </w:tc>
      </w:tr>
      <w:tr w:rsidR="005574D6" w:rsidRPr="005574D6" w14:paraId="4387018B" w14:textId="77777777" w:rsidTr="005574D6">
        <w:trPr>
          <w:trHeight w:val="338"/>
        </w:trPr>
        <w:tc>
          <w:tcPr>
            <w:tcW w:w="720" w:type="dxa"/>
            <w:vMerge w:val="restart"/>
            <w:shd w:val="clear" w:color="auto" w:fill="D9D9D9" w:themeFill="background1" w:themeFillShade="D9"/>
            <w:noWrap/>
            <w:vAlign w:val="center"/>
            <w:hideMark/>
          </w:tcPr>
          <w:p w14:paraId="43AE7B3E" w14:textId="77777777" w:rsidR="005574D6" w:rsidRPr="005574D6" w:rsidRDefault="005574D6" w:rsidP="005574D6">
            <w:pPr>
              <w:spacing w:line="240" w:lineRule="auto"/>
            </w:pPr>
            <w:r w:rsidRPr="005574D6">
              <w:t>KYC</w:t>
            </w:r>
          </w:p>
        </w:tc>
        <w:tc>
          <w:tcPr>
            <w:tcW w:w="3418" w:type="dxa"/>
            <w:shd w:val="clear" w:color="auto" w:fill="D9D9D9" w:themeFill="background1" w:themeFillShade="D9"/>
            <w:hideMark/>
          </w:tcPr>
          <w:p w14:paraId="17BAD8C3" w14:textId="7C0262E4" w:rsidR="005574D6" w:rsidRPr="005574D6" w:rsidRDefault="005574D6" w:rsidP="005574D6">
            <w:pPr>
              <w:spacing w:line="240" w:lineRule="auto"/>
            </w:pPr>
            <w:r w:rsidRPr="005574D6">
              <w:t>Comm</w:t>
            </w:r>
            <w:r>
              <w:t xml:space="preserve">unication Campaign - </w:t>
            </w:r>
            <w:r w:rsidRPr="005574D6">
              <w:t>Parent</w:t>
            </w:r>
          </w:p>
        </w:tc>
        <w:tc>
          <w:tcPr>
            <w:tcW w:w="1251" w:type="dxa"/>
            <w:shd w:val="clear" w:color="auto" w:fill="D9D9D9" w:themeFill="background1" w:themeFillShade="D9"/>
            <w:vAlign w:val="center"/>
            <w:hideMark/>
          </w:tcPr>
          <w:p w14:paraId="761A5F24" w14:textId="77777777" w:rsidR="005574D6" w:rsidRPr="005574D6" w:rsidRDefault="005574D6" w:rsidP="005574D6">
            <w:pPr>
              <w:spacing w:line="240" w:lineRule="auto"/>
              <w:jc w:val="center"/>
            </w:pPr>
            <w:r w:rsidRPr="005574D6">
              <w:t>52,251</w:t>
            </w:r>
          </w:p>
        </w:tc>
        <w:tc>
          <w:tcPr>
            <w:tcW w:w="1217" w:type="dxa"/>
            <w:shd w:val="clear" w:color="auto" w:fill="D9D9D9" w:themeFill="background1" w:themeFillShade="D9"/>
            <w:vAlign w:val="center"/>
            <w:hideMark/>
          </w:tcPr>
          <w:p w14:paraId="6CC0F205" w14:textId="77777777" w:rsidR="005574D6" w:rsidRPr="005574D6" w:rsidRDefault="005574D6" w:rsidP="005574D6">
            <w:pPr>
              <w:spacing w:line="240" w:lineRule="auto"/>
              <w:jc w:val="center"/>
            </w:pPr>
            <w:r w:rsidRPr="005574D6">
              <w:t>34,278</w:t>
            </w:r>
          </w:p>
        </w:tc>
        <w:tc>
          <w:tcPr>
            <w:tcW w:w="992" w:type="dxa"/>
            <w:shd w:val="clear" w:color="auto" w:fill="D9D9D9" w:themeFill="background1" w:themeFillShade="D9"/>
            <w:vAlign w:val="center"/>
            <w:hideMark/>
          </w:tcPr>
          <w:p w14:paraId="41119317" w14:textId="77777777" w:rsidR="005574D6" w:rsidRPr="005574D6" w:rsidRDefault="005574D6" w:rsidP="005574D6">
            <w:pPr>
              <w:spacing w:line="240" w:lineRule="auto"/>
              <w:jc w:val="center"/>
            </w:pPr>
            <w:r w:rsidRPr="005574D6">
              <w:t>44,619</w:t>
            </w:r>
          </w:p>
        </w:tc>
        <w:tc>
          <w:tcPr>
            <w:tcW w:w="971" w:type="dxa"/>
            <w:shd w:val="clear" w:color="auto" w:fill="D9D9D9" w:themeFill="background1" w:themeFillShade="D9"/>
            <w:vAlign w:val="center"/>
            <w:hideMark/>
          </w:tcPr>
          <w:p w14:paraId="5A44BB23" w14:textId="77777777" w:rsidR="005574D6" w:rsidRPr="005574D6" w:rsidRDefault="005574D6" w:rsidP="005574D6">
            <w:pPr>
              <w:spacing w:line="240" w:lineRule="auto"/>
              <w:jc w:val="center"/>
            </w:pPr>
            <w:r w:rsidRPr="005574D6">
              <w:t>10,210</w:t>
            </w:r>
          </w:p>
        </w:tc>
        <w:tc>
          <w:tcPr>
            <w:tcW w:w="966" w:type="dxa"/>
            <w:shd w:val="clear" w:color="auto" w:fill="D9D9D9" w:themeFill="background1" w:themeFillShade="D9"/>
            <w:noWrap/>
            <w:vAlign w:val="center"/>
            <w:hideMark/>
          </w:tcPr>
          <w:p w14:paraId="19CC0921" w14:textId="77777777" w:rsidR="005574D6" w:rsidRPr="005574D6" w:rsidRDefault="005574D6" w:rsidP="005574D6">
            <w:pPr>
              <w:spacing w:line="240" w:lineRule="auto"/>
              <w:jc w:val="center"/>
            </w:pPr>
            <w:r w:rsidRPr="005574D6">
              <w:t>141,358</w:t>
            </w:r>
          </w:p>
        </w:tc>
      </w:tr>
      <w:tr w:rsidR="005574D6" w:rsidRPr="005574D6" w14:paraId="77DC1AFE" w14:textId="77777777" w:rsidTr="005574D6">
        <w:trPr>
          <w:trHeight w:val="338"/>
        </w:trPr>
        <w:tc>
          <w:tcPr>
            <w:tcW w:w="720" w:type="dxa"/>
            <w:vMerge/>
            <w:shd w:val="clear" w:color="auto" w:fill="D9D9D9" w:themeFill="background1" w:themeFillShade="D9"/>
            <w:vAlign w:val="center"/>
            <w:hideMark/>
          </w:tcPr>
          <w:p w14:paraId="2D530112" w14:textId="77777777" w:rsidR="005574D6" w:rsidRPr="005574D6" w:rsidRDefault="005574D6" w:rsidP="005574D6">
            <w:pPr>
              <w:spacing w:line="240" w:lineRule="auto"/>
            </w:pPr>
          </w:p>
        </w:tc>
        <w:tc>
          <w:tcPr>
            <w:tcW w:w="3418" w:type="dxa"/>
            <w:shd w:val="clear" w:color="auto" w:fill="D9D9D9" w:themeFill="background1" w:themeFillShade="D9"/>
            <w:hideMark/>
          </w:tcPr>
          <w:p w14:paraId="645CE5A1" w14:textId="61E3CA9B" w:rsidR="005574D6" w:rsidRPr="005574D6" w:rsidRDefault="005574D6" w:rsidP="005574D6">
            <w:pPr>
              <w:spacing w:line="240" w:lineRule="auto"/>
            </w:pPr>
            <w:r w:rsidRPr="005574D6">
              <w:t>Comm</w:t>
            </w:r>
            <w:r>
              <w:t>unication Campaign - Adults</w:t>
            </w:r>
          </w:p>
        </w:tc>
        <w:tc>
          <w:tcPr>
            <w:tcW w:w="1251" w:type="dxa"/>
            <w:shd w:val="clear" w:color="auto" w:fill="D9D9D9" w:themeFill="background1" w:themeFillShade="D9"/>
            <w:noWrap/>
            <w:vAlign w:val="center"/>
            <w:hideMark/>
          </w:tcPr>
          <w:p w14:paraId="5AE24660" w14:textId="77777777" w:rsidR="005574D6" w:rsidRPr="005574D6" w:rsidRDefault="005574D6" w:rsidP="005574D6">
            <w:pPr>
              <w:spacing w:line="240" w:lineRule="auto"/>
              <w:jc w:val="center"/>
            </w:pPr>
            <w:r w:rsidRPr="005574D6">
              <w:t>46,577</w:t>
            </w:r>
          </w:p>
        </w:tc>
        <w:tc>
          <w:tcPr>
            <w:tcW w:w="1217" w:type="dxa"/>
            <w:shd w:val="clear" w:color="auto" w:fill="D9D9D9" w:themeFill="background1" w:themeFillShade="D9"/>
            <w:noWrap/>
            <w:vAlign w:val="center"/>
            <w:hideMark/>
          </w:tcPr>
          <w:p w14:paraId="35B2B880" w14:textId="77777777" w:rsidR="005574D6" w:rsidRPr="005574D6" w:rsidRDefault="005574D6" w:rsidP="005574D6">
            <w:pPr>
              <w:spacing w:line="240" w:lineRule="auto"/>
              <w:jc w:val="center"/>
            </w:pPr>
            <w:r w:rsidRPr="005574D6">
              <w:t>72,851</w:t>
            </w:r>
          </w:p>
        </w:tc>
        <w:tc>
          <w:tcPr>
            <w:tcW w:w="992" w:type="dxa"/>
            <w:shd w:val="clear" w:color="auto" w:fill="D9D9D9" w:themeFill="background1" w:themeFillShade="D9"/>
            <w:vAlign w:val="center"/>
            <w:hideMark/>
          </w:tcPr>
          <w:p w14:paraId="245CE85C" w14:textId="77777777" w:rsidR="005574D6" w:rsidRPr="005574D6" w:rsidRDefault="005574D6" w:rsidP="005574D6">
            <w:pPr>
              <w:spacing w:line="240" w:lineRule="auto"/>
              <w:jc w:val="center"/>
            </w:pPr>
            <w:r w:rsidRPr="005574D6">
              <w:t>46,086</w:t>
            </w:r>
          </w:p>
        </w:tc>
        <w:tc>
          <w:tcPr>
            <w:tcW w:w="971" w:type="dxa"/>
            <w:shd w:val="clear" w:color="auto" w:fill="D9D9D9" w:themeFill="background1" w:themeFillShade="D9"/>
            <w:vAlign w:val="center"/>
            <w:hideMark/>
          </w:tcPr>
          <w:p w14:paraId="1B4ACD71" w14:textId="77777777" w:rsidR="005574D6" w:rsidRPr="005574D6" w:rsidRDefault="005574D6" w:rsidP="005574D6">
            <w:pPr>
              <w:spacing w:line="240" w:lineRule="auto"/>
              <w:jc w:val="center"/>
            </w:pPr>
            <w:r w:rsidRPr="005574D6">
              <w:t>181,350</w:t>
            </w:r>
          </w:p>
        </w:tc>
        <w:tc>
          <w:tcPr>
            <w:tcW w:w="966" w:type="dxa"/>
            <w:shd w:val="clear" w:color="auto" w:fill="D9D9D9" w:themeFill="background1" w:themeFillShade="D9"/>
            <w:noWrap/>
            <w:vAlign w:val="center"/>
            <w:hideMark/>
          </w:tcPr>
          <w:p w14:paraId="1FB82E7C" w14:textId="77777777" w:rsidR="005574D6" w:rsidRPr="005574D6" w:rsidRDefault="005574D6" w:rsidP="005574D6">
            <w:pPr>
              <w:spacing w:line="240" w:lineRule="auto"/>
              <w:jc w:val="center"/>
            </w:pPr>
            <w:r w:rsidRPr="005574D6">
              <w:t>346,864</w:t>
            </w:r>
          </w:p>
        </w:tc>
      </w:tr>
      <w:tr w:rsidR="005574D6" w:rsidRPr="005574D6" w14:paraId="033C7E9F" w14:textId="77777777" w:rsidTr="005574D6">
        <w:trPr>
          <w:trHeight w:val="338"/>
        </w:trPr>
        <w:tc>
          <w:tcPr>
            <w:tcW w:w="720" w:type="dxa"/>
            <w:vMerge/>
            <w:shd w:val="clear" w:color="auto" w:fill="D9D9D9" w:themeFill="background1" w:themeFillShade="D9"/>
            <w:vAlign w:val="center"/>
            <w:hideMark/>
          </w:tcPr>
          <w:p w14:paraId="52047B35" w14:textId="77777777" w:rsidR="005574D6" w:rsidRPr="005574D6" w:rsidRDefault="005574D6" w:rsidP="005574D6">
            <w:pPr>
              <w:spacing w:line="240" w:lineRule="auto"/>
            </w:pPr>
          </w:p>
        </w:tc>
        <w:tc>
          <w:tcPr>
            <w:tcW w:w="3418" w:type="dxa"/>
            <w:shd w:val="clear" w:color="auto" w:fill="D9D9D9" w:themeFill="background1" w:themeFillShade="D9"/>
            <w:hideMark/>
          </w:tcPr>
          <w:p w14:paraId="10F780B1" w14:textId="77777777" w:rsidR="005574D6" w:rsidRPr="005574D6" w:rsidRDefault="005574D6" w:rsidP="005574D6">
            <w:pPr>
              <w:spacing w:line="240" w:lineRule="auto"/>
            </w:pPr>
            <w:r w:rsidRPr="005574D6">
              <w:t>Policy-Social Host Ordinance</w:t>
            </w:r>
          </w:p>
        </w:tc>
        <w:tc>
          <w:tcPr>
            <w:tcW w:w="1251" w:type="dxa"/>
            <w:shd w:val="clear" w:color="auto" w:fill="D9D9D9" w:themeFill="background1" w:themeFillShade="D9"/>
            <w:vAlign w:val="center"/>
            <w:hideMark/>
          </w:tcPr>
          <w:p w14:paraId="0210B104" w14:textId="77777777" w:rsidR="005574D6" w:rsidRPr="005574D6" w:rsidRDefault="005574D6" w:rsidP="005574D6">
            <w:pPr>
              <w:spacing w:line="240" w:lineRule="auto"/>
              <w:jc w:val="center"/>
            </w:pPr>
            <w:r w:rsidRPr="005574D6">
              <w:t>1,014</w:t>
            </w:r>
          </w:p>
        </w:tc>
        <w:tc>
          <w:tcPr>
            <w:tcW w:w="1217" w:type="dxa"/>
            <w:shd w:val="clear" w:color="auto" w:fill="D9D9D9" w:themeFill="background1" w:themeFillShade="D9"/>
            <w:vAlign w:val="center"/>
            <w:hideMark/>
          </w:tcPr>
          <w:p w14:paraId="55638818" w14:textId="77777777" w:rsidR="005574D6" w:rsidRPr="005574D6" w:rsidRDefault="005574D6" w:rsidP="005574D6">
            <w:pPr>
              <w:spacing w:line="240" w:lineRule="auto"/>
              <w:jc w:val="center"/>
            </w:pPr>
            <w:r w:rsidRPr="005574D6">
              <w:t>130</w:t>
            </w:r>
          </w:p>
        </w:tc>
        <w:tc>
          <w:tcPr>
            <w:tcW w:w="992" w:type="dxa"/>
            <w:shd w:val="clear" w:color="auto" w:fill="D9D9D9" w:themeFill="background1" w:themeFillShade="D9"/>
            <w:vAlign w:val="center"/>
            <w:hideMark/>
          </w:tcPr>
          <w:p w14:paraId="6668EFEA" w14:textId="77777777" w:rsidR="005574D6" w:rsidRPr="005574D6" w:rsidRDefault="005574D6" w:rsidP="005574D6">
            <w:pPr>
              <w:spacing w:line="240" w:lineRule="auto"/>
              <w:jc w:val="center"/>
            </w:pPr>
            <w:r w:rsidRPr="005574D6">
              <w:t>18,310</w:t>
            </w:r>
          </w:p>
        </w:tc>
        <w:tc>
          <w:tcPr>
            <w:tcW w:w="971" w:type="dxa"/>
            <w:shd w:val="clear" w:color="auto" w:fill="D9D9D9" w:themeFill="background1" w:themeFillShade="D9"/>
            <w:vAlign w:val="center"/>
            <w:hideMark/>
          </w:tcPr>
          <w:p w14:paraId="62C8C3C4" w14:textId="77777777" w:rsidR="005574D6" w:rsidRPr="005574D6" w:rsidRDefault="005574D6" w:rsidP="005574D6">
            <w:pPr>
              <w:spacing w:line="240" w:lineRule="auto"/>
              <w:jc w:val="center"/>
            </w:pPr>
            <w:r w:rsidRPr="005574D6">
              <w:t>492</w:t>
            </w:r>
          </w:p>
        </w:tc>
        <w:tc>
          <w:tcPr>
            <w:tcW w:w="966" w:type="dxa"/>
            <w:shd w:val="clear" w:color="auto" w:fill="D9D9D9" w:themeFill="background1" w:themeFillShade="D9"/>
            <w:noWrap/>
            <w:vAlign w:val="center"/>
            <w:hideMark/>
          </w:tcPr>
          <w:p w14:paraId="4B0B1549" w14:textId="77777777" w:rsidR="005574D6" w:rsidRPr="005574D6" w:rsidRDefault="005574D6" w:rsidP="005574D6">
            <w:pPr>
              <w:spacing w:line="240" w:lineRule="auto"/>
              <w:jc w:val="center"/>
            </w:pPr>
            <w:r w:rsidRPr="005574D6">
              <w:t>19,946</w:t>
            </w:r>
          </w:p>
        </w:tc>
      </w:tr>
      <w:tr w:rsidR="005574D6" w:rsidRPr="005574D6" w14:paraId="0D108B42" w14:textId="77777777" w:rsidTr="005574D6">
        <w:trPr>
          <w:trHeight w:val="338"/>
        </w:trPr>
        <w:tc>
          <w:tcPr>
            <w:tcW w:w="720" w:type="dxa"/>
            <w:vMerge w:val="restart"/>
            <w:noWrap/>
            <w:vAlign w:val="center"/>
            <w:hideMark/>
          </w:tcPr>
          <w:p w14:paraId="42D238DB" w14:textId="77777777" w:rsidR="005574D6" w:rsidRPr="005574D6" w:rsidRDefault="005574D6" w:rsidP="005574D6">
            <w:pPr>
              <w:spacing w:line="240" w:lineRule="auto"/>
            </w:pPr>
            <w:r w:rsidRPr="005574D6">
              <w:t>Oak Park</w:t>
            </w:r>
          </w:p>
        </w:tc>
        <w:tc>
          <w:tcPr>
            <w:tcW w:w="3418" w:type="dxa"/>
            <w:noWrap/>
            <w:hideMark/>
          </w:tcPr>
          <w:p w14:paraId="15DC1204" w14:textId="77777777" w:rsidR="005574D6" w:rsidRPr="005574D6" w:rsidRDefault="005574D6" w:rsidP="005574D6">
            <w:pPr>
              <w:spacing w:line="240" w:lineRule="auto"/>
            </w:pPr>
            <w:r w:rsidRPr="005574D6">
              <w:t>Compliance Checks</w:t>
            </w:r>
          </w:p>
        </w:tc>
        <w:tc>
          <w:tcPr>
            <w:tcW w:w="1251" w:type="dxa"/>
            <w:noWrap/>
            <w:vAlign w:val="center"/>
            <w:hideMark/>
          </w:tcPr>
          <w:p w14:paraId="36ABCF83" w14:textId="77777777" w:rsidR="005574D6" w:rsidRPr="005574D6" w:rsidRDefault="005574D6" w:rsidP="005574D6">
            <w:pPr>
              <w:spacing w:line="240" w:lineRule="auto"/>
              <w:jc w:val="center"/>
            </w:pPr>
            <w:r w:rsidRPr="005574D6">
              <w:t>16</w:t>
            </w:r>
          </w:p>
        </w:tc>
        <w:tc>
          <w:tcPr>
            <w:tcW w:w="1217" w:type="dxa"/>
            <w:noWrap/>
            <w:vAlign w:val="center"/>
            <w:hideMark/>
          </w:tcPr>
          <w:p w14:paraId="7844A6EF" w14:textId="77777777" w:rsidR="005574D6" w:rsidRPr="005574D6" w:rsidRDefault="005574D6" w:rsidP="005574D6">
            <w:pPr>
              <w:spacing w:line="240" w:lineRule="auto"/>
              <w:jc w:val="center"/>
            </w:pPr>
            <w:r w:rsidRPr="005574D6">
              <w:t>105</w:t>
            </w:r>
          </w:p>
        </w:tc>
        <w:tc>
          <w:tcPr>
            <w:tcW w:w="992" w:type="dxa"/>
            <w:noWrap/>
            <w:vAlign w:val="center"/>
            <w:hideMark/>
          </w:tcPr>
          <w:p w14:paraId="7CC51090" w14:textId="77777777" w:rsidR="005574D6" w:rsidRPr="005574D6" w:rsidRDefault="005574D6" w:rsidP="005574D6">
            <w:pPr>
              <w:spacing w:line="240" w:lineRule="auto"/>
              <w:jc w:val="center"/>
            </w:pPr>
            <w:r w:rsidRPr="005574D6">
              <w:t>0</w:t>
            </w:r>
          </w:p>
        </w:tc>
        <w:tc>
          <w:tcPr>
            <w:tcW w:w="971" w:type="dxa"/>
            <w:noWrap/>
            <w:vAlign w:val="center"/>
            <w:hideMark/>
          </w:tcPr>
          <w:p w14:paraId="2F195A53" w14:textId="77777777" w:rsidR="005574D6" w:rsidRPr="005574D6" w:rsidRDefault="005574D6" w:rsidP="005574D6">
            <w:pPr>
              <w:spacing w:line="240" w:lineRule="auto"/>
              <w:jc w:val="center"/>
            </w:pPr>
            <w:r w:rsidRPr="005574D6">
              <w:t>4</w:t>
            </w:r>
          </w:p>
        </w:tc>
        <w:tc>
          <w:tcPr>
            <w:tcW w:w="966" w:type="dxa"/>
            <w:noWrap/>
            <w:vAlign w:val="center"/>
            <w:hideMark/>
          </w:tcPr>
          <w:p w14:paraId="7AAAFF49" w14:textId="77777777" w:rsidR="005574D6" w:rsidRPr="005574D6" w:rsidRDefault="005574D6" w:rsidP="005574D6">
            <w:pPr>
              <w:spacing w:line="240" w:lineRule="auto"/>
              <w:jc w:val="center"/>
            </w:pPr>
            <w:r w:rsidRPr="005574D6">
              <w:t>125</w:t>
            </w:r>
          </w:p>
        </w:tc>
      </w:tr>
      <w:tr w:rsidR="005574D6" w:rsidRPr="005574D6" w14:paraId="402B85D5" w14:textId="77777777" w:rsidTr="005574D6">
        <w:trPr>
          <w:trHeight w:val="338"/>
        </w:trPr>
        <w:tc>
          <w:tcPr>
            <w:tcW w:w="720" w:type="dxa"/>
            <w:vMerge/>
            <w:vAlign w:val="center"/>
            <w:hideMark/>
          </w:tcPr>
          <w:p w14:paraId="4EBB20A4" w14:textId="77777777" w:rsidR="005574D6" w:rsidRPr="005574D6" w:rsidRDefault="005574D6" w:rsidP="005574D6">
            <w:pPr>
              <w:spacing w:line="240" w:lineRule="auto"/>
            </w:pPr>
          </w:p>
        </w:tc>
        <w:tc>
          <w:tcPr>
            <w:tcW w:w="3418" w:type="dxa"/>
            <w:hideMark/>
          </w:tcPr>
          <w:p w14:paraId="7BE02039" w14:textId="616F8699" w:rsidR="005574D6" w:rsidRPr="005574D6" w:rsidRDefault="005574D6" w:rsidP="005574D6">
            <w:pPr>
              <w:spacing w:line="240" w:lineRule="auto"/>
            </w:pPr>
            <w:r w:rsidRPr="005574D6">
              <w:t>Comm</w:t>
            </w:r>
            <w:r>
              <w:t xml:space="preserve">unication Campaign - </w:t>
            </w:r>
            <w:r w:rsidRPr="005574D6">
              <w:t>Youth</w:t>
            </w:r>
          </w:p>
        </w:tc>
        <w:tc>
          <w:tcPr>
            <w:tcW w:w="1251" w:type="dxa"/>
            <w:noWrap/>
            <w:vAlign w:val="center"/>
            <w:hideMark/>
          </w:tcPr>
          <w:p w14:paraId="60411315" w14:textId="77777777" w:rsidR="005574D6" w:rsidRPr="005574D6" w:rsidRDefault="005574D6" w:rsidP="005574D6">
            <w:pPr>
              <w:spacing w:line="240" w:lineRule="auto"/>
              <w:jc w:val="center"/>
            </w:pPr>
            <w:r w:rsidRPr="005574D6">
              <w:t>3203</w:t>
            </w:r>
          </w:p>
        </w:tc>
        <w:tc>
          <w:tcPr>
            <w:tcW w:w="1217" w:type="dxa"/>
            <w:noWrap/>
            <w:vAlign w:val="center"/>
            <w:hideMark/>
          </w:tcPr>
          <w:p w14:paraId="3B85E784" w14:textId="77777777" w:rsidR="005574D6" w:rsidRPr="005574D6" w:rsidRDefault="005574D6" w:rsidP="005574D6">
            <w:pPr>
              <w:spacing w:line="240" w:lineRule="auto"/>
              <w:jc w:val="center"/>
            </w:pPr>
            <w:r w:rsidRPr="005574D6">
              <w:t>0</w:t>
            </w:r>
          </w:p>
        </w:tc>
        <w:tc>
          <w:tcPr>
            <w:tcW w:w="992" w:type="dxa"/>
            <w:noWrap/>
            <w:vAlign w:val="center"/>
            <w:hideMark/>
          </w:tcPr>
          <w:p w14:paraId="1B0F9975" w14:textId="77777777" w:rsidR="005574D6" w:rsidRPr="005574D6" w:rsidRDefault="005574D6" w:rsidP="005574D6">
            <w:pPr>
              <w:spacing w:line="240" w:lineRule="auto"/>
              <w:jc w:val="center"/>
            </w:pPr>
            <w:r w:rsidRPr="005574D6">
              <w:t>0</w:t>
            </w:r>
          </w:p>
        </w:tc>
        <w:tc>
          <w:tcPr>
            <w:tcW w:w="971" w:type="dxa"/>
            <w:noWrap/>
            <w:vAlign w:val="center"/>
            <w:hideMark/>
          </w:tcPr>
          <w:p w14:paraId="407EE390" w14:textId="77777777" w:rsidR="005574D6" w:rsidRPr="005574D6" w:rsidRDefault="005574D6" w:rsidP="005574D6">
            <w:pPr>
              <w:spacing w:line="240" w:lineRule="auto"/>
              <w:jc w:val="center"/>
            </w:pPr>
            <w:r w:rsidRPr="005574D6">
              <w:t>0</w:t>
            </w:r>
          </w:p>
        </w:tc>
        <w:tc>
          <w:tcPr>
            <w:tcW w:w="966" w:type="dxa"/>
            <w:noWrap/>
            <w:vAlign w:val="center"/>
            <w:hideMark/>
          </w:tcPr>
          <w:p w14:paraId="5EECDEC8" w14:textId="77777777" w:rsidR="005574D6" w:rsidRPr="005574D6" w:rsidRDefault="005574D6" w:rsidP="005574D6">
            <w:pPr>
              <w:spacing w:line="240" w:lineRule="auto"/>
              <w:jc w:val="center"/>
            </w:pPr>
            <w:r w:rsidRPr="005574D6">
              <w:t>3,203</w:t>
            </w:r>
          </w:p>
        </w:tc>
      </w:tr>
      <w:tr w:rsidR="005574D6" w:rsidRPr="005574D6" w14:paraId="2CCB7C4F" w14:textId="77777777" w:rsidTr="005574D6">
        <w:trPr>
          <w:trHeight w:val="338"/>
        </w:trPr>
        <w:tc>
          <w:tcPr>
            <w:tcW w:w="720" w:type="dxa"/>
            <w:vMerge/>
            <w:vAlign w:val="center"/>
            <w:hideMark/>
          </w:tcPr>
          <w:p w14:paraId="60BA1AC9" w14:textId="77777777" w:rsidR="005574D6" w:rsidRPr="005574D6" w:rsidRDefault="005574D6" w:rsidP="005574D6">
            <w:pPr>
              <w:spacing w:line="240" w:lineRule="auto"/>
            </w:pPr>
          </w:p>
        </w:tc>
        <w:tc>
          <w:tcPr>
            <w:tcW w:w="3418" w:type="dxa"/>
            <w:hideMark/>
          </w:tcPr>
          <w:p w14:paraId="5EA28C20" w14:textId="3886C458" w:rsidR="005574D6" w:rsidRPr="005574D6" w:rsidRDefault="005574D6" w:rsidP="005574D6">
            <w:pPr>
              <w:spacing w:line="240" w:lineRule="auto"/>
            </w:pPr>
            <w:r w:rsidRPr="005574D6">
              <w:t>Comm</w:t>
            </w:r>
            <w:r>
              <w:t xml:space="preserve">unication Campaign - </w:t>
            </w:r>
            <w:r w:rsidRPr="005574D6">
              <w:t>Parent</w:t>
            </w:r>
          </w:p>
        </w:tc>
        <w:tc>
          <w:tcPr>
            <w:tcW w:w="1251" w:type="dxa"/>
            <w:noWrap/>
            <w:vAlign w:val="center"/>
            <w:hideMark/>
          </w:tcPr>
          <w:p w14:paraId="1CE6922D" w14:textId="77777777" w:rsidR="005574D6" w:rsidRPr="005574D6" w:rsidRDefault="005574D6" w:rsidP="005574D6">
            <w:pPr>
              <w:spacing w:line="240" w:lineRule="auto"/>
              <w:jc w:val="center"/>
            </w:pPr>
            <w:r w:rsidRPr="005574D6">
              <w:t>6400</w:t>
            </w:r>
          </w:p>
        </w:tc>
        <w:tc>
          <w:tcPr>
            <w:tcW w:w="1217" w:type="dxa"/>
            <w:vAlign w:val="center"/>
            <w:hideMark/>
          </w:tcPr>
          <w:p w14:paraId="54828710" w14:textId="77777777" w:rsidR="005574D6" w:rsidRPr="005574D6" w:rsidRDefault="005574D6" w:rsidP="005574D6">
            <w:pPr>
              <w:spacing w:line="240" w:lineRule="auto"/>
              <w:jc w:val="center"/>
            </w:pPr>
            <w:r w:rsidRPr="005574D6">
              <w:t>0</w:t>
            </w:r>
          </w:p>
        </w:tc>
        <w:tc>
          <w:tcPr>
            <w:tcW w:w="992" w:type="dxa"/>
            <w:vAlign w:val="center"/>
            <w:hideMark/>
          </w:tcPr>
          <w:p w14:paraId="2E844BED" w14:textId="77777777" w:rsidR="005574D6" w:rsidRPr="005574D6" w:rsidRDefault="005574D6" w:rsidP="005574D6">
            <w:pPr>
              <w:spacing w:line="240" w:lineRule="auto"/>
              <w:jc w:val="center"/>
            </w:pPr>
            <w:r w:rsidRPr="005574D6">
              <w:t>0</w:t>
            </w:r>
          </w:p>
        </w:tc>
        <w:tc>
          <w:tcPr>
            <w:tcW w:w="971" w:type="dxa"/>
            <w:vAlign w:val="center"/>
            <w:hideMark/>
          </w:tcPr>
          <w:p w14:paraId="24619825" w14:textId="77777777" w:rsidR="005574D6" w:rsidRPr="005574D6" w:rsidRDefault="005574D6" w:rsidP="005574D6">
            <w:pPr>
              <w:spacing w:line="240" w:lineRule="auto"/>
              <w:jc w:val="center"/>
            </w:pPr>
            <w:r w:rsidRPr="005574D6">
              <w:t>0</w:t>
            </w:r>
          </w:p>
        </w:tc>
        <w:tc>
          <w:tcPr>
            <w:tcW w:w="966" w:type="dxa"/>
            <w:noWrap/>
            <w:vAlign w:val="center"/>
            <w:hideMark/>
          </w:tcPr>
          <w:p w14:paraId="4F167D23" w14:textId="77777777" w:rsidR="005574D6" w:rsidRPr="005574D6" w:rsidRDefault="005574D6" w:rsidP="005574D6">
            <w:pPr>
              <w:spacing w:line="240" w:lineRule="auto"/>
              <w:jc w:val="center"/>
            </w:pPr>
            <w:r w:rsidRPr="005574D6">
              <w:t>6,400</w:t>
            </w:r>
          </w:p>
        </w:tc>
      </w:tr>
    </w:tbl>
    <w:p w14:paraId="0BDD8D35" w14:textId="4D7EED04" w:rsidR="002C27D8" w:rsidRDefault="002C27D8" w:rsidP="00CA5563">
      <w:pPr>
        <w:spacing w:after="0" w:line="240" w:lineRule="auto"/>
      </w:pPr>
    </w:p>
    <w:p w14:paraId="1957863A" w14:textId="77777777" w:rsidR="002C27D8" w:rsidRDefault="002C27D8" w:rsidP="00CA5563">
      <w:pPr>
        <w:spacing w:after="0" w:line="240" w:lineRule="auto"/>
      </w:pPr>
    </w:p>
    <w:p w14:paraId="102A7917" w14:textId="28F36901" w:rsidR="00CA5563" w:rsidRDefault="00CA5563" w:rsidP="00CA5563">
      <w:pPr>
        <w:spacing w:after="0" w:line="240" w:lineRule="auto"/>
      </w:pPr>
    </w:p>
    <w:p w14:paraId="7DA1F025" w14:textId="77777777" w:rsidR="004B3B9D" w:rsidRDefault="004B3B9D">
      <w:pPr>
        <w:spacing w:line="259" w:lineRule="auto"/>
      </w:pPr>
      <w:r>
        <w:br w:type="page"/>
      </w:r>
    </w:p>
    <w:p w14:paraId="7B75498C" w14:textId="1686BD28" w:rsidR="004B3B9D" w:rsidRDefault="004B3B9D" w:rsidP="004B3B9D">
      <w:pPr>
        <w:pStyle w:val="Heading1"/>
      </w:pPr>
      <w:bookmarkStart w:id="10" w:name="_Toc45026645"/>
      <w:r>
        <w:lastRenderedPageBreak/>
        <w:t xml:space="preserve">Section IV. </w:t>
      </w:r>
      <w:r w:rsidR="00F167F3">
        <w:t>Capacity and Infrastructure</w:t>
      </w:r>
      <w:r w:rsidR="00B4238C">
        <w:t xml:space="preserve"> – Sub-Recipient Coalitions</w:t>
      </w:r>
      <w:bookmarkEnd w:id="10"/>
    </w:p>
    <w:p w14:paraId="76E1A64D" w14:textId="77777777" w:rsidR="00F167F3" w:rsidRDefault="00B4238C" w:rsidP="004B3B9D">
      <w:r>
        <w:t xml:space="preserve">As reported in the previous report, Goal 5 of the project was “to describe changes in prevention capacity and infrastructure at the state and sub-recipient level.” This section describes changes in the sub-recipient coalitions and the next section describes changes in the state level (SEOW). </w:t>
      </w:r>
    </w:p>
    <w:p w14:paraId="56F22BFF" w14:textId="6706C5D3" w:rsidR="00F167F3" w:rsidRDefault="00B4238C" w:rsidP="004B3B9D">
      <w:r>
        <w:t xml:space="preserve">As noted above, five sub-recipients continued through the extension period. </w:t>
      </w:r>
      <w:r w:rsidR="00F167F3">
        <w:t>The 2019 and 2020 coalition meetings, subcommittee meetings, and sector representation are presented below for each of these five sub-recipients.</w:t>
      </w:r>
    </w:p>
    <w:p w14:paraId="0EE8CBD9" w14:textId="7BA3A791" w:rsidR="00B4238C" w:rsidRDefault="00B4238C" w:rsidP="00B4238C">
      <w:pPr>
        <w:pStyle w:val="Heading2"/>
      </w:pPr>
      <w:bookmarkStart w:id="11" w:name="_Toc45026646"/>
      <w:r>
        <w:t>Ann &amp; Robert H. Lurie Children’s Hospital</w:t>
      </w:r>
      <w:bookmarkEnd w:id="11"/>
    </w:p>
    <w:p w14:paraId="05474199" w14:textId="373A3149" w:rsidR="00F167F3" w:rsidRDefault="00F167F3" w:rsidP="00F167F3">
      <w:r>
        <w:t xml:space="preserve">The city of Chicago coalition is named Preventing Alcohol Abuse in Chicago Teens (PAACT). </w:t>
      </w:r>
      <w:r w:rsidRPr="008639D8">
        <w:t>T</w:t>
      </w:r>
      <w:r>
        <w:t xml:space="preserve">his coalition met </w:t>
      </w:r>
      <w:r w:rsidR="00B1159F">
        <w:t xml:space="preserve">7 times </w:t>
      </w:r>
      <w:r>
        <w:t>in 2019</w:t>
      </w:r>
      <w:r w:rsidR="00B1159F">
        <w:t xml:space="preserve"> and had 4 subcommittee meetings</w:t>
      </w:r>
      <w:r>
        <w:t>. In 2020, there were 6 coalition meetings and 4 subcommittee meetings. Below is the coalition sector representation.</w:t>
      </w:r>
      <w:r w:rsidRPr="001A570D">
        <w:t xml:space="preserve"> </w:t>
      </w:r>
    </w:p>
    <w:tbl>
      <w:tblPr>
        <w:tblStyle w:val="TableGrid"/>
        <w:tblW w:w="7624" w:type="dxa"/>
        <w:tblInd w:w="0" w:type="dxa"/>
        <w:tblLook w:val="04A0" w:firstRow="1" w:lastRow="0" w:firstColumn="1" w:lastColumn="0" w:noHBand="0" w:noVBand="1"/>
      </w:tblPr>
      <w:tblGrid>
        <w:gridCol w:w="3974"/>
        <w:gridCol w:w="1825"/>
        <w:gridCol w:w="1825"/>
      </w:tblGrid>
      <w:tr w:rsidR="00B4238C" w14:paraId="6443D01F" w14:textId="77777777" w:rsidTr="00B4238C">
        <w:trPr>
          <w:trHeight w:val="275"/>
        </w:trPr>
        <w:tc>
          <w:tcPr>
            <w:tcW w:w="3974" w:type="dxa"/>
          </w:tcPr>
          <w:p w14:paraId="25AA10D1" w14:textId="77777777" w:rsidR="00B4238C" w:rsidRPr="00AA493D" w:rsidRDefault="00B4238C" w:rsidP="00B4238C">
            <w:pPr>
              <w:jc w:val="center"/>
              <w:rPr>
                <w:b/>
              </w:rPr>
            </w:pPr>
            <w:r w:rsidRPr="00AA493D">
              <w:rPr>
                <w:b/>
              </w:rPr>
              <w:t>Sectors</w:t>
            </w:r>
          </w:p>
        </w:tc>
        <w:tc>
          <w:tcPr>
            <w:tcW w:w="1825" w:type="dxa"/>
          </w:tcPr>
          <w:p w14:paraId="0853F387" w14:textId="3B578C91" w:rsidR="00B4238C" w:rsidRPr="00AA493D" w:rsidRDefault="00B4238C" w:rsidP="00B4238C">
            <w:pPr>
              <w:jc w:val="center"/>
              <w:rPr>
                <w:b/>
              </w:rPr>
            </w:pPr>
            <w:r w:rsidRPr="00AA493D">
              <w:rPr>
                <w:b/>
              </w:rPr>
              <w:t>FY201</w:t>
            </w:r>
            <w:r>
              <w:rPr>
                <w:b/>
              </w:rPr>
              <w:t>9</w:t>
            </w:r>
          </w:p>
        </w:tc>
        <w:tc>
          <w:tcPr>
            <w:tcW w:w="1825" w:type="dxa"/>
          </w:tcPr>
          <w:p w14:paraId="17B22E1B" w14:textId="15FCFD2B" w:rsidR="00B4238C" w:rsidRPr="00AA493D" w:rsidRDefault="00B4238C" w:rsidP="00B4238C">
            <w:pPr>
              <w:jc w:val="center"/>
              <w:rPr>
                <w:b/>
              </w:rPr>
            </w:pPr>
            <w:r w:rsidRPr="00AA493D">
              <w:rPr>
                <w:b/>
              </w:rPr>
              <w:t>FY20</w:t>
            </w:r>
            <w:r>
              <w:rPr>
                <w:b/>
              </w:rPr>
              <w:t>20</w:t>
            </w:r>
          </w:p>
        </w:tc>
      </w:tr>
      <w:tr w:rsidR="00B4238C" w14:paraId="5282BCEE" w14:textId="77777777" w:rsidTr="00B4238C">
        <w:trPr>
          <w:trHeight w:val="259"/>
        </w:trPr>
        <w:tc>
          <w:tcPr>
            <w:tcW w:w="3974" w:type="dxa"/>
          </w:tcPr>
          <w:p w14:paraId="18942B20" w14:textId="77777777" w:rsidR="00B4238C" w:rsidRDefault="00B4238C" w:rsidP="00B4238C">
            <w:r>
              <w:t>Business Community</w:t>
            </w:r>
          </w:p>
        </w:tc>
        <w:tc>
          <w:tcPr>
            <w:tcW w:w="1825" w:type="dxa"/>
            <w:vAlign w:val="center"/>
          </w:tcPr>
          <w:p w14:paraId="074739C1" w14:textId="77777777" w:rsidR="00B4238C" w:rsidRDefault="00B4238C" w:rsidP="00B4238C">
            <w:pPr>
              <w:jc w:val="center"/>
            </w:pPr>
          </w:p>
        </w:tc>
        <w:tc>
          <w:tcPr>
            <w:tcW w:w="1825" w:type="dxa"/>
            <w:vAlign w:val="center"/>
          </w:tcPr>
          <w:p w14:paraId="527F4D65" w14:textId="77777777" w:rsidR="00B4238C" w:rsidRDefault="00B4238C" w:rsidP="00B4238C">
            <w:pPr>
              <w:jc w:val="center"/>
            </w:pPr>
          </w:p>
        </w:tc>
      </w:tr>
      <w:tr w:rsidR="00B4238C" w14:paraId="44BCB58B" w14:textId="77777777" w:rsidTr="00B4238C">
        <w:trPr>
          <w:trHeight w:val="275"/>
        </w:trPr>
        <w:tc>
          <w:tcPr>
            <w:tcW w:w="3974" w:type="dxa"/>
          </w:tcPr>
          <w:p w14:paraId="7C96C728" w14:textId="77777777" w:rsidR="00B4238C" w:rsidRDefault="00B4238C" w:rsidP="00B4238C">
            <w:r>
              <w:t>Civic or Volunteer Organizations</w:t>
            </w:r>
          </w:p>
        </w:tc>
        <w:tc>
          <w:tcPr>
            <w:tcW w:w="1825" w:type="dxa"/>
            <w:vAlign w:val="center"/>
          </w:tcPr>
          <w:p w14:paraId="3F633B6C" w14:textId="22738C4D" w:rsidR="00B4238C" w:rsidRDefault="00B1159F" w:rsidP="00B4238C">
            <w:pPr>
              <w:jc w:val="center"/>
            </w:pPr>
            <w:r>
              <w:t>X</w:t>
            </w:r>
          </w:p>
        </w:tc>
        <w:tc>
          <w:tcPr>
            <w:tcW w:w="1825" w:type="dxa"/>
            <w:vAlign w:val="center"/>
          </w:tcPr>
          <w:p w14:paraId="5CEB7BAB" w14:textId="238EADAE" w:rsidR="00B4238C" w:rsidRDefault="00F167F3" w:rsidP="00B4238C">
            <w:pPr>
              <w:jc w:val="center"/>
            </w:pPr>
            <w:r>
              <w:t>X</w:t>
            </w:r>
          </w:p>
        </w:tc>
      </w:tr>
      <w:tr w:rsidR="00B4238C" w14:paraId="4ABF5046" w14:textId="77777777" w:rsidTr="00B4238C">
        <w:trPr>
          <w:trHeight w:val="259"/>
        </w:trPr>
        <w:tc>
          <w:tcPr>
            <w:tcW w:w="3974" w:type="dxa"/>
          </w:tcPr>
          <w:p w14:paraId="168D75B5" w14:textId="77777777" w:rsidR="00B4238C" w:rsidRDefault="00B4238C" w:rsidP="00B4238C">
            <w:r>
              <w:t>Faith-Based Organizations</w:t>
            </w:r>
          </w:p>
        </w:tc>
        <w:tc>
          <w:tcPr>
            <w:tcW w:w="1825" w:type="dxa"/>
            <w:vAlign w:val="center"/>
          </w:tcPr>
          <w:p w14:paraId="4BE95CEC" w14:textId="26F78DE1" w:rsidR="00B4238C" w:rsidRDefault="00B4238C" w:rsidP="00B4238C">
            <w:pPr>
              <w:jc w:val="center"/>
            </w:pPr>
          </w:p>
        </w:tc>
        <w:tc>
          <w:tcPr>
            <w:tcW w:w="1825" w:type="dxa"/>
            <w:vAlign w:val="center"/>
          </w:tcPr>
          <w:p w14:paraId="529E9E1A" w14:textId="33A9B019" w:rsidR="00B4238C" w:rsidRDefault="00F167F3" w:rsidP="00B4238C">
            <w:pPr>
              <w:jc w:val="center"/>
            </w:pPr>
            <w:r>
              <w:t>X</w:t>
            </w:r>
          </w:p>
        </w:tc>
      </w:tr>
      <w:tr w:rsidR="00B4238C" w14:paraId="0275A615" w14:textId="77777777" w:rsidTr="00B4238C">
        <w:trPr>
          <w:trHeight w:val="275"/>
        </w:trPr>
        <w:tc>
          <w:tcPr>
            <w:tcW w:w="3974" w:type="dxa"/>
          </w:tcPr>
          <w:p w14:paraId="287766AC" w14:textId="77777777" w:rsidR="00B4238C" w:rsidRDefault="00B4238C" w:rsidP="00B4238C">
            <w:r>
              <w:t>Healthcare Professionals/Agencies</w:t>
            </w:r>
          </w:p>
        </w:tc>
        <w:tc>
          <w:tcPr>
            <w:tcW w:w="1825" w:type="dxa"/>
            <w:vAlign w:val="center"/>
          </w:tcPr>
          <w:p w14:paraId="07AA94C7" w14:textId="45DA3180" w:rsidR="00B4238C" w:rsidRDefault="00B1159F" w:rsidP="00B4238C">
            <w:pPr>
              <w:jc w:val="center"/>
            </w:pPr>
            <w:r>
              <w:t>X</w:t>
            </w:r>
          </w:p>
        </w:tc>
        <w:tc>
          <w:tcPr>
            <w:tcW w:w="1825" w:type="dxa"/>
            <w:vAlign w:val="center"/>
          </w:tcPr>
          <w:p w14:paraId="361A43ED" w14:textId="0FD5784A" w:rsidR="00B4238C" w:rsidRDefault="00F167F3" w:rsidP="00B4238C">
            <w:pPr>
              <w:jc w:val="center"/>
            </w:pPr>
            <w:r>
              <w:t>X</w:t>
            </w:r>
          </w:p>
        </w:tc>
      </w:tr>
      <w:tr w:rsidR="00B4238C" w14:paraId="360931DE" w14:textId="77777777" w:rsidTr="00B4238C">
        <w:trPr>
          <w:trHeight w:val="259"/>
        </w:trPr>
        <w:tc>
          <w:tcPr>
            <w:tcW w:w="3974" w:type="dxa"/>
          </w:tcPr>
          <w:p w14:paraId="767124A1" w14:textId="77777777" w:rsidR="00B4238C" w:rsidRDefault="00B4238C" w:rsidP="00B4238C">
            <w:r>
              <w:t>Law Enforcement Agencies</w:t>
            </w:r>
          </w:p>
        </w:tc>
        <w:tc>
          <w:tcPr>
            <w:tcW w:w="1825" w:type="dxa"/>
            <w:vAlign w:val="center"/>
          </w:tcPr>
          <w:p w14:paraId="6D972CC0" w14:textId="5EA9D8EF" w:rsidR="00B4238C" w:rsidRDefault="00B1159F" w:rsidP="00B4238C">
            <w:pPr>
              <w:jc w:val="center"/>
            </w:pPr>
            <w:r>
              <w:t>X</w:t>
            </w:r>
          </w:p>
        </w:tc>
        <w:tc>
          <w:tcPr>
            <w:tcW w:w="1825" w:type="dxa"/>
            <w:vAlign w:val="center"/>
          </w:tcPr>
          <w:p w14:paraId="5B9CA0AF" w14:textId="0B74741F" w:rsidR="00B4238C" w:rsidRDefault="00F167F3" w:rsidP="00B4238C">
            <w:pPr>
              <w:jc w:val="center"/>
            </w:pPr>
            <w:r>
              <w:t>X</w:t>
            </w:r>
          </w:p>
        </w:tc>
      </w:tr>
      <w:tr w:rsidR="00B4238C" w14:paraId="178B38B9" w14:textId="77777777" w:rsidTr="00B4238C">
        <w:trPr>
          <w:trHeight w:val="259"/>
        </w:trPr>
        <w:tc>
          <w:tcPr>
            <w:tcW w:w="3974" w:type="dxa"/>
          </w:tcPr>
          <w:p w14:paraId="19CAF53B" w14:textId="77777777" w:rsidR="00B4238C" w:rsidRDefault="00B4238C" w:rsidP="00B4238C">
            <w:r>
              <w:t>Local or State Government Agencies</w:t>
            </w:r>
          </w:p>
        </w:tc>
        <w:tc>
          <w:tcPr>
            <w:tcW w:w="1825" w:type="dxa"/>
            <w:vAlign w:val="center"/>
          </w:tcPr>
          <w:p w14:paraId="1A2E9B46" w14:textId="34F43612" w:rsidR="00B4238C" w:rsidRDefault="00B1159F" w:rsidP="00B4238C">
            <w:pPr>
              <w:jc w:val="center"/>
            </w:pPr>
            <w:r>
              <w:t>X</w:t>
            </w:r>
          </w:p>
        </w:tc>
        <w:tc>
          <w:tcPr>
            <w:tcW w:w="1825" w:type="dxa"/>
            <w:vAlign w:val="center"/>
          </w:tcPr>
          <w:p w14:paraId="090780CF" w14:textId="0D977672" w:rsidR="00B4238C" w:rsidRDefault="00F167F3" w:rsidP="00B4238C">
            <w:pPr>
              <w:jc w:val="center"/>
            </w:pPr>
            <w:r>
              <w:t>X</w:t>
            </w:r>
          </w:p>
        </w:tc>
      </w:tr>
      <w:tr w:rsidR="00B4238C" w14:paraId="0F6335E3" w14:textId="77777777" w:rsidTr="00B4238C">
        <w:trPr>
          <w:trHeight w:val="259"/>
        </w:trPr>
        <w:tc>
          <w:tcPr>
            <w:tcW w:w="3974" w:type="dxa"/>
          </w:tcPr>
          <w:p w14:paraId="530BBDA4" w14:textId="77777777" w:rsidR="00B4238C" w:rsidRDefault="00B4238C" w:rsidP="00B4238C">
            <w:r>
              <w:t>Media</w:t>
            </w:r>
          </w:p>
        </w:tc>
        <w:tc>
          <w:tcPr>
            <w:tcW w:w="1825" w:type="dxa"/>
            <w:vAlign w:val="center"/>
          </w:tcPr>
          <w:p w14:paraId="04770B68" w14:textId="77777777" w:rsidR="00B4238C" w:rsidRDefault="00B4238C" w:rsidP="00B4238C">
            <w:pPr>
              <w:jc w:val="center"/>
            </w:pPr>
          </w:p>
        </w:tc>
        <w:tc>
          <w:tcPr>
            <w:tcW w:w="1825" w:type="dxa"/>
            <w:vAlign w:val="center"/>
          </w:tcPr>
          <w:p w14:paraId="65FD4B8D" w14:textId="06A7BB33" w:rsidR="00B4238C" w:rsidRDefault="00F167F3" w:rsidP="00B4238C">
            <w:pPr>
              <w:jc w:val="center"/>
            </w:pPr>
            <w:r>
              <w:t>X</w:t>
            </w:r>
          </w:p>
        </w:tc>
      </w:tr>
      <w:tr w:rsidR="00B4238C" w14:paraId="68FB9B53" w14:textId="77777777" w:rsidTr="00B4238C">
        <w:trPr>
          <w:trHeight w:val="275"/>
        </w:trPr>
        <w:tc>
          <w:tcPr>
            <w:tcW w:w="3974" w:type="dxa"/>
          </w:tcPr>
          <w:p w14:paraId="6C16FDCF" w14:textId="77777777" w:rsidR="00B4238C" w:rsidRDefault="00B4238C" w:rsidP="00B4238C">
            <w:r>
              <w:t>Other Groups/Organizations</w:t>
            </w:r>
          </w:p>
        </w:tc>
        <w:tc>
          <w:tcPr>
            <w:tcW w:w="1825" w:type="dxa"/>
            <w:vAlign w:val="center"/>
          </w:tcPr>
          <w:p w14:paraId="4913DED1" w14:textId="17CB23F0" w:rsidR="00B4238C" w:rsidRDefault="00B1159F" w:rsidP="00B4238C">
            <w:pPr>
              <w:jc w:val="center"/>
            </w:pPr>
            <w:r>
              <w:t>X</w:t>
            </w:r>
          </w:p>
        </w:tc>
        <w:tc>
          <w:tcPr>
            <w:tcW w:w="1825" w:type="dxa"/>
            <w:vAlign w:val="center"/>
          </w:tcPr>
          <w:p w14:paraId="1A57D211" w14:textId="6BC54773" w:rsidR="00B4238C" w:rsidRDefault="00F167F3" w:rsidP="00B4238C">
            <w:pPr>
              <w:jc w:val="center"/>
            </w:pPr>
            <w:r>
              <w:t>X</w:t>
            </w:r>
          </w:p>
        </w:tc>
      </w:tr>
      <w:tr w:rsidR="00B4238C" w14:paraId="0F1E922E" w14:textId="77777777" w:rsidTr="00B4238C">
        <w:trPr>
          <w:trHeight w:val="275"/>
        </w:trPr>
        <w:tc>
          <w:tcPr>
            <w:tcW w:w="3974" w:type="dxa"/>
          </w:tcPr>
          <w:p w14:paraId="1782B53E" w14:textId="77777777" w:rsidR="00B4238C" w:rsidRDefault="00B4238C" w:rsidP="00B4238C">
            <w:r>
              <w:t>Parent/Family/Caregivers</w:t>
            </w:r>
          </w:p>
        </w:tc>
        <w:tc>
          <w:tcPr>
            <w:tcW w:w="1825" w:type="dxa"/>
            <w:vAlign w:val="center"/>
          </w:tcPr>
          <w:p w14:paraId="0C6FC931" w14:textId="77777777" w:rsidR="00B4238C" w:rsidRDefault="00B4238C" w:rsidP="00B4238C">
            <w:pPr>
              <w:jc w:val="center"/>
            </w:pPr>
          </w:p>
        </w:tc>
        <w:tc>
          <w:tcPr>
            <w:tcW w:w="1825" w:type="dxa"/>
            <w:vAlign w:val="center"/>
          </w:tcPr>
          <w:p w14:paraId="37862316" w14:textId="0A530243" w:rsidR="00B4238C" w:rsidRDefault="00F167F3" w:rsidP="00B4238C">
            <w:pPr>
              <w:jc w:val="center"/>
            </w:pPr>
            <w:r>
              <w:t>X</w:t>
            </w:r>
          </w:p>
        </w:tc>
      </w:tr>
      <w:tr w:rsidR="00B4238C" w14:paraId="61D3F7ED" w14:textId="77777777" w:rsidTr="00B4238C">
        <w:trPr>
          <w:trHeight w:val="259"/>
        </w:trPr>
        <w:tc>
          <w:tcPr>
            <w:tcW w:w="3974" w:type="dxa"/>
          </w:tcPr>
          <w:p w14:paraId="22DAA7E2" w14:textId="77777777" w:rsidR="00B4238C" w:rsidRDefault="00B4238C" w:rsidP="00B4238C">
            <w:r>
              <w:t>Schools or School Districts</w:t>
            </w:r>
          </w:p>
        </w:tc>
        <w:tc>
          <w:tcPr>
            <w:tcW w:w="1825" w:type="dxa"/>
            <w:vAlign w:val="center"/>
          </w:tcPr>
          <w:p w14:paraId="39675348" w14:textId="672E6808" w:rsidR="00B4238C" w:rsidRDefault="00B1159F" w:rsidP="00B4238C">
            <w:pPr>
              <w:jc w:val="center"/>
            </w:pPr>
            <w:r>
              <w:t>X</w:t>
            </w:r>
          </w:p>
        </w:tc>
        <w:tc>
          <w:tcPr>
            <w:tcW w:w="1825" w:type="dxa"/>
            <w:vAlign w:val="center"/>
          </w:tcPr>
          <w:p w14:paraId="4BF2C440" w14:textId="2D8A8501" w:rsidR="00B4238C" w:rsidRDefault="00F167F3" w:rsidP="00B4238C">
            <w:pPr>
              <w:jc w:val="center"/>
            </w:pPr>
            <w:r>
              <w:t>X</w:t>
            </w:r>
          </w:p>
        </w:tc>
      </w:tr>
      <w:tr w:rsidR="00B4238C" w14:paraId="747CBA3E" w14:textId="77777777" w:rsidTr="00B4238C">
        <w:trPr>
          <w:trHeight w:val="275"/>
        </w:trPr>
        <w:tc>
          <w:tcPr>
            <w:tcW w:w="3974" w:type="dxa"/>
          </w:tcPr>
          <w:p w14:paraId="1BDB3856" w14:textId="77777777" w:rsidR="00B4238C" w:rsidRDefault="00B4238C" w:rsidP="00B4238C">
            <w:r>
              <w:t>Youth or Student Groups</w:t>
            </w:r>
          </w:p>
        </w:tc>
        <w:tc>
          <w:tcPr>
            <w:tcW w:w="1825" w:type="dxa"/>
            <w:vAlign w:val="center"/>
          </w:tcPr>
          <w:p w14:paraId="440CEAAC" w14:textId="7A59DD6F" w:rsidR="00B4238C" w:rsidRDefault="00B1159F" w:rsidP="00B4238C">
            <w:pPr>
              <w:jc w:val="center"/>
            </w:pPr>
            <w:r>
              <w:t>X</w:t>
            </w:r>
          </w:p>
        </w:tc>
        <w:tc>
          <w:tcPr>
            <w:tcW w:w="1825" w:type="dxa"/>
            <w:vAlign w:val="center"/>
          </w:tcPr>
          <w:p w14:paraId="3E93A180" w14:textId="361D47D6" w:rsidR="00B4238C" w:rsidRDefault="00F167F3" w:rsidP="00B4238C">
            <w:pPr>
              <w:jc w:val="center"/>
            </w:pPr>
            <w:r>
              <w:t>X</w:t>
            </w:r>
          </w:p>
        </w:tc>
      </w:tr>
      <w:tr w:rsidR="00B4238C" w14:paraId="378A6728" w14:textId="77777777" w:rsidTr="00B4238C">
        <w:trPr>
          <w:trHeight w:val="259"/>
        </w:trPr>
        <w:tc>
          <w:tcPr>
            <w:tcW w:w="3974" w:type="dxa"/>
          </w:tcPr>
          <w:p w14:paraId="7001CCFD" w14:textId="77777777" w:rsidR="00B4238C" w:rsidRDefault="00B4238C" w:rsidP="00B4238C">
            <w:r>
              <w:t>Youth Serving Organizations</w:t>
            </w:r>
          </w:p>
        </w:tc>
        <w:tc>
          <w:tcPr>
            <w:tcW w:w="1825" w:type="dxa"/>
            <w:vAlign w:val="center"/>
          </w:tcPr>
          <w:p w14:paraId="1021F87B" w14:textId="6490E60E" w:rsidR="00B4238C" w:rsidRDefault="00B1159F" w:rsidP="00B4238C">
            <w:pPr>
              <w:jc w:val="center"/>
            </w:pPr>
            <w:r>
              <w:t>X</w:t>
            </w:r>
          </w:p>
        </w:tc>
        <w:tc>
          <w:tcPr>
            <w:tcW w:w="1825" w:type="dxa"/>
            <w:vAlign w:val="center"/>
          </w:tcPr>
          <w:p w14:paraId="02462FD3" w14:textId="1C59B9BB" w:rsidR="00B4238C" w:rsidRDefault="00F167F3" w:rsidP="00B4238C">
            <w:pPr>
              <w:jc w:val="center"/>
            </w:pPr>
            <w:r>
              <w:t>X</w:t>
            </w:r>
          </w:p>
        </w:tc>
      </w:tr>
      <w:tr w:rsidR="00DF0D2A" w14:paraId="72F9F77A" w14:textId="77777777" w:rsidTr="005E5853">
        <w:trPr>
          <w:trHeight w:val="259"/>
        </w:trPr>
        <w:tc>
          <w:tcPr>
            <w:tcW w:w="3974" w:type="dxa"/>
          </w:tcPr>
          <w:p w14:paraId="466D2F73" w14:textId="77777777" w:rsidR="00DF0D2A" w:rsidRDefault="00DF0D2A" w:rsidP="005E5853">
            <w:r>
              <w:t>Liquor Control Commission</w:t>
            </w:r>
          </w:p>
        </w:tc>
        <w:tc>
          <w:tcPr>
            <w:tcW w:w="1825" w:type="dxa"/>
            <w:vAlign w:val="center"/>
          </w:tcPr>
          <w:p w14:paraId="65C231D5" w14:textId="77777777" w:rsidR="00DF0D2A" w:rsidRDefault="00DF0D2A" w:rsidP="005E5853">
            <w:pPr>
              <w:jc w:val="center"/>
            </w:pPr>
          </w:p>
        </w:tc>
        <w:tc>
          <w:tcPr>
            <w:tcW w:w="1825" w:type="dxa"/>
            <w:vAlign w:val="center"/>
          </w:tcPr>
          <w:p w14:paraId="65FE9729" w14:textId="77777777" w:rsidR="00DF0D2A" w:rsidRDefault="00DF0D2A" w:rsidP="005E5853">
            <w:pPr>
              <w:jc w:val="center"/>
            </w:pPr>
            <w:r>
              <w:t>X</w:t>
            </w:r>
          </w:p>
        </w:tc>
      </w:tr>
      <w:tr w:rsidR="00B4238C" w14:paraId="5794A8A9" w14:textId="77777777" w:rsidTr="00B4238C">
        <w:trPr>
          <w:trHeight w:val="259"/>
        </w:trPr>
        <w:tc>
          <w:tcPr>
            <w:tcW w:w="3974" w:type="dxa"/>
          </w:tcPr>
          <w:p w14:paraId="53A4416C" w14:textId="77777777" w:rsidR="00B4238C" w:rsidRPr="008B0D14" w:rsidRDefault="00B4238C" w:rsidP="00B4238C">
            <w:pPr>
              <w:jc w:val="center"/>
              <w:rPr>
                <w:b/>
              </w:rPr>
            </w:pPr>
            <w:r w:rsidRPr="008B0D14">
              <w:rPr>
                <w:b/>
              </w:rPr>
              <w:t>Total Sectors Represented</w:t>
            </w:r>
          </w:p>
        </w:tc>
        <w:tc>
          <w:tcPr>
            <w:tcW w:w="1825" w:type="dxa"/>
            <w:vAlign w:val="center"/>
          </w:tcPr>
          <w:p w14:paraId="5F6EA88B" w14:textId="25D6954F" w:rsidR="00B4238C" w:rsidRPr="008B0D14" w:rsidRDefault="00B1159F" w:rsidP="00B4238C">
            <w:pPr>
              <w:jc w:val="center"/>
              <w:rPr>
                <w:b/>
              </w:rPr>
            </w:pPr>
            <w:r>
              <w:rPr>
                <w:b/>
              </w:rPr>
              <w:t>8</w:t>
            </w:r>
          </w:p>
        </w:tc>
        <w:tc>
          <w:tcPr>
            <w:tcW w:w="1825" w:type="dxa"/>
            <w:vAlign w:val="center"/>
          </w:tcPr>
          <w:p w14:paraId="3344D44F" w14:textId="390FFA1C" w:rsidR="00B4238C" w:rsidRPr="008B0D14" w:rsidRDefault="00F167F3" w:rsidP="00B4238C">
            <w:pPr>
              <w:jc w:val="center"/>
              <w:rPr>
                <w:b/>
              </w:rPr>
            </w:pPr>
            <w:r>
              <w:rPr>
                <w:b/>
              </w:rPr>
              <w:t>1</w:t>
            </w:r>
            <w:r w:rsidR="00DF0D2A">
              <w:rPr>
                <w:b/>
              </w:rPr>
              <w:t>2</w:t>
            </w:r>
          </w:p>
        </w:tc>
      </w:tr>
    </w:tbl>
    <w:p w14:paraId="17C2C760" w14:textId="23B008DE" w:rsidR="00B4238C" w:rsidRDefault="00B4238C" w:rsidP="00B4238C"/>
    <w:p w14:paraId="3350E6CB" w14:textId="09E00DFE" w:rsidR="00B4238C" w:rsidRDefault="00B4238C" w:rsidP="00B4238C">
      <w:pPr>
        <w:pStyle w:val="Heading2"/>
      </w:pPr>
      <w:bookmarkStart w:id="12" w:name="_Toc45026647"/>
      <w:r w:rsidRPr="00262E21">
        <w:t>Jane Addams, Inc. dba FHN Family Counseling Center</w:t>
      </w:r>
      <w:bookmarkEnd w:id="12"/>
    </w:p>
    <w:p w14:paraId="738570AF" w14:textId="0DF1D6FB" w:rsidR="00F167F3" w:rsidRPr="00F167F3" w:rsidRDefault="00F167F3" w:rsidP="00F167F3">
      <w:r>
        <w:t>T</w:t>
      </w:r>
      <w:r w:rsidRPr="005C0BAC">
        <w:t>he</w:t>
      </w:r>
      <w:r>
        <w:rPr>
          <w:b/>
        </w:rPr>
        <w:t xml:space="preserve"> </w:t>
      </w:r>
      <w:r w:rsidRPr="005C0BAC">
        <w:t>Jo</w:t>
      </w:r>
      <w:r>
        <w:rPr>
          <w:b/>
        </w:rPr>
        <w:t xml:space="preserve"> </w:t>
      </w:r>
      <w:r w:rsidRPr="005C0BAC">
        <w:t>Daviess</w:t>
      </w:r>
      <w:r>
        <w:rPr>
          <w:b/>
        </w:rPr>
        <w:t xml:space="preserve"> </w:t>
      </w:r>
      <w:r w:rsidRPr="005C0BAC">
        <w:t>County</w:t>
      </w:r>
      <w:r>
        <w:rPr>
          <w:b/>
        </w:rPr>
        <w:t xml:space="preserve"> </w:t>
      </w:r>
      <w:r>
        <w:t>coalition is named</w:t>
      </w:r>
      <w:r w:rsidRPr="00514CB3">
        <w:t xml:space="preserve"> </w:t>
      </w:r>
      <w:r>
        <w:t>t</w:t>
      </w:r>
      <w:r w:rsidRPr="00514CB3">
        <w:t>he Jo Daviess Juvenile Justice Council</w:t>
      </w:r>
      <w:r>
        <w:t xml:space="preserve">. </w:t>
      </w:r>
      <w:r w:rsidRPr="008639D8">
        <w:t>T</w:t>
      </w:r>
      <w:r>
        <w:t xml:space="preserve">his coalition met </w:t>
      </w:r>
      <w:r w:rsidR="00B1159F">
        <w:t>7 times in 2019</w:t>
      </w:r>
      <w:r>
        <w:t xml:space="preserve">. In 2020, there were 6 coalition meetings and </w:t>
      </w:r>
      <w:r w:rsidR="00DF0D2A">
        <w:t>1</w:t>
      </w:r>
      <w:r>
        <w:t xml:space="preserve"> subcommittee meeting. Below is the coalition sector representation.</w:t>
      </w:r>
    </w:p>
    <w:tbl>
      <w:tblPr>
        <w:tblStyle w:val="TableGrid"/>
        <w:tblW w:w="7624" w:type="dxa"/>
        <w:tblInd w:w="0" w:type="dxa"/>
        <w:tblLook w:val="04A0" w:firstRow="1" w:lastRow="0" w:firstColumn="1" w:lastColumn="0" w:noHBand="0" w:noVBand="1"/>
      </w:tblPr>
      <w:tblGrid>
        <w:gridCol w:w="3974"/>
        <w:gridCol w:w="1825"/>
        <w:gridCol w:w="1825"/>
      </w:tblGrid>
      <w:tr w:rsidR="00B4238C" w14:paraId="6A9F770A" w14:textId="77777777" w:rsidTr="00B4238C">
        <w:trPr>
          <w:trHeight w:val="275"/>
        </w:trPr>
        <w:tc>
          <w:tcPr>
            <w:tcW w:w="3974" w:type="dxa"/>
          </w:tcPr>
          <w:p w14:paraId="71EE673F" w14:textId="77777777" w:rsidR="00B4238C" w:rsidRPr="00AA493D" w:rsidRDefault="00B4238C" w:rsidP="00B4238C">
            <w:pPr>
              <w:jc w:val="center"/>
              <w:rPr>
                <w:b/>
              </w:rPr>
            </w:pPr>
            <w:r w:rsidRPr="00AA493D">
              <w:rPr>
                <w:b/>
              </w:rPr>
              <w:t>Sectors</w:t>
            </w:r>
          </w:p>
        </w:tc>
        <w:tc>
          <w:tcPr>
            <w:tcW w:w="1825" w:type="dxa"/>
          </w:tcPr>
          <w:p w14:paraId="61FBC54F" w14:textId="77777777" w:rsidR="00B4238C" w:rsidRPr="00AA493D" w:rsidRDefault="00B4238C" w:rsidP="00B4238C">
            <w:pPr>
              <w:jc w:val="center"/>
              <w:rPr>
                <w:b/>
              </w:rPr>
            </w:pPr>
            <w:r w:rsidRPr="00AA493D">
              <w:rPr>
                <w:b/>
              </w:rPr>
              <w:t>FY201</w:t>
            </w:r>
            <w:r>
              <w:rPr>
                <w:b/>
              </w:rPr>
              <w:t>9</w:t>
            </w:r>
          </w:p>
        </w:tc>
        <w:tc>
          <w:tcPr>
            <w:tcW w:w="1825" w:type="dxa"/>
          </w:tcPr>
          <w:p w14:paraId="12CD576C" w14:textId="77777777" w:rsidR="00B4238C" w:rsidRPr="00AA493D" w:rsidRDefault="00B4238C" w:rsidP="00B4238C">
            <w:pPr>
              <w:jc w:val="center"/>
              <w:rPr>
                <w:b/>
              </w:rPr>
            </w:pPr>
            <w:r w:rsidRPr="00AA493D">
              <w:rPr>
                <w:b/>
              </w:rPr>
              <w:t>FY20</w:t>
            </w:r>
            <w:r>
              <w:rPr>
                <w:b/>
              </w:rPr>
              <w:t>20</w:t>
            </w:r>
          </w:p>
        </w:tc>
      </w:tr>
      <w:tr w:rsidR="00B4238C" w14:paraId="2BF36173" w14:textId="77777777" w:rsidTr="00B4238C">
        <w:trPr>
          <w:trHeight w:val="259"/>
        </w:trPr>
        <w:tc>
          <w:tcPr>
            <w:tcW w:w="3974" w:type="dxa"/>
          </w:tcPr>
          <w:p w14:paraId="02A6AC4E" w14:textId="77777777" w:rsidR="00B4238C" w:rsidRDefault="00B4238C" w:rsidP="00B4238C">
            <w:r>
              <w:t>Business Community</w:t>
            </w:r>
          </w:p>
        </w:tc>
        <w:tc>
          <w:tcPr>
            <w:tcW w:w="1825" w:type="dxa"/>
            <w:vAlign w:val="center"/>
          </w:tcPr>
          <w:p w14:paraId="4F2CCE81" w14:textId="11D1248B" w:rsidR="00B4238C" w:rsidRDefault="00B1159F" w:rsidP="00B4238C">
            <w:pPr>
              <w:jc w:val="center"/>
            </w:pPr>
            <w:r>
              <w:t>X</w:t>
            </w:r>
          </w:p>
        </w:tc>
        <w:tc>
          <w:tcPr>
            <w:tcW w:w="1825" w:type="dxa"/>
            <w:vAlign w:val="center"/>
          </w:tcPr>
          <w:p w14:paraId="04FAFE1D" w14:textId="3D108EA7" w:rsidR="00B4238C" w:rsidRDefault="00DF0D2A" w:rsidP="00B4238C">
            <w:pPr>
              <w:jc w:val="center"/>
            </w:pPr>
            <w:r>
              <w:t>X</w:t>
            </w:r>
          </w:p>
        </w:tc>
      </w:tr>
      <w:tr w:rsidR="00B4238C" w14:paraId="4746C64F" w14:textId="77777777" w:rsidTr="00B4238C">
        <w:trPr>
          <w:trHeight w:val="275"/>
        </w:trPr>
        <w:tc>
          <w:tcPr>
            <w:tcW w:w="3974" w:type="dxa"/>
          </w:tcPr>
          <w:p w14:paraId="32EE341F" w14:textId="77777777" w:rsidR="00B4238C" w:rsidRDefault="00B4238C" w:rsidP="00B4238C">
            <w:r>
              <w:t>Civic or Volunteer Organizations</w:t>
            </w:r>
          </w:p>
        </w:tc>
        <w:tc>
          <w:tcPr>
            <w:tcW w:w="1825" w:type="dxa"/>
            <w:vAlign w:val="center"/>
          </w:tcPr>
          <w:p w14:paraId="77525DB4" w14:textId="1F73954E" w:rsidR="00B4238C" w:rsidRDefault="00B1159F" w:rsidP="00B4238C">
            <w:pPr>
              <w:jc w:val="center"/>
            </w:pPr>
            <w:r>
              <w:t>X</w:t>
            </w:r>
          </w:p>
        </w:tc>
        <w:tc>
          <w:tcPr>
            <w:tcW w:w="1825" w:type="dxa"/>
            <w:vAlign w:val="center"/>
          </w:tcPr>
          <w:p w14:paraId="2DE1B76E" w14:textId="3F3D7EAD" w:rsidR="00B4238C" w:rsidRDefault="00DF0D2A" w:rsidP="00B4238C">
            <w:pPr>
              <w:jc w:val="center"/>
            </w:pPr>
            <w:r>
              <w:t>X</w:t>
            </w:r>
          </w:p>
        </w:tc>
      </w:tr>
      <w:tr w:rsidR="00B4238C" w14:paraId="675184E7" w14:textId="77777777" w:rsidTr="00B4238C">
        <w:trPr>
          <w:trHeight w:val="259"/>
        </w:trPr>
        <w:tc>
          <w:tcPr>
            <w:tcW w:w="3974" w:type="dxa"/>
          </w:tcPr>
          <w:p w14:paraId="0132AC41" w14:textId="77777777" w:rsidR="00B4238C" w:rsidRDefault="00B4238C" w:rsidP="00B4238C">
            <w:r>
              <w:t>Faith-Based Organizations</w:t>
            </w:r>
          </w:p>
        </w:tc>
        <w:tc>
          <w:tcPr>
            <w:tcW w:w="1825" w:type="dxa"/>
            <w:vAlign w:val="center"/>
          </w:tcPr>
          <w:p w14:paraId="1006EE24" w14:textId="30339CA4" w:rsidR="00B4238C" w:rsidRDefault="00B1159F" w:rsidP="00B4238C">
            <w:pPr>
              <w:jc w:val="center"/>
            </w:pPr>
            <w:r>
              <w:t>X</w:t>
            </w:r>
          </w:p>
        </w:tc>
        <w:tc>
          <w:tcPr>
            <w:tcW w:w="1825" w:type="dxa"/>
            <w:vAlign w:val="center"/>
          </w:tcPr>
          <w:p w14:paraId="74EA9B37" w14:textId="77777777" w:rsidR="00B4238C" w:rsidRDefault="00B4238C" w:rsidP="00B4238C">
            <w:pPr>
              <w:jc w:val="center"/>
            </w:pPr>
          </w:p>
        </w:tc>
      </w:tr>
      <w:tr w:rsidR="00B4238C" w14:paraId="579BFD19" w14:textId="77777777" w:rsidTr="00B4238C">
        <w:trPr>
          <w:trHeight w:val="275"/>
        </w:trPr>
        <w:tc>
          <w:tcPr>
            <w:tcW w:w="3974" w:type="dxa"/>
          </w:tcPr>
          <w:p w14:paraId="3D647426" w14:textId="77777777" w:rsidR="00B4238C" w:rsidRDefault="00B4238C" w:rsidP="00B4238C">
            <w:r>
              <w:t>Healthcare Professionals/Agencies</w:t>
            </w:r>
          </w:p>
        </w:tc>
        <w:tc>
          <w:tcPr>
            <w:tcW w:w="1825" w:type="dxa"/>
            <w:vAlign w:val="center"/>
          </w:tcPr>
          <w:p w14:paraId="51C8B4AA" w14:textId="470D081C" w:rsidR="00B4238C" w:rsidRDefault="00B1159F" w:rsidP="00B4238C">
            <w:pPr>
              <w:jc w:val="center"/>
            </w:pPr>
            <w:r>
              <w:t>X</w:t>
            </w:r>
          </w:p>
        </w:tc>
        <w:tc>
          <w:tcPr>
            <w:tcW w:w="1825" w:type="dxa"/>
            <w:vAlign w:val="center"/>
          </w:tcPr>
          <w:p w14:paraId="1BC7B5F3" w14:textId="35317CCE" w:rsidR="00B4238C" w:rsidRDefault="00DF0D2A" w:rsidP="00B4238C">
            <w:pPr>
              <w:jc w:val="center"/>
            </w:pPr>
            <w:r>
              <w:t>X</w:t>
            </w:r>
          </w:p>
        </w:tc>
      </w:tr>
      <w:tr w:rsidR="00B4238C" w14:paraId="2A4989B6" w14:textId="77777777" w:rsidTr="00B4238C">
        <w:trPr>
          <w:trHeight w:val="259"/>
        </w:trPr>
        <w:tc>
          <w:tcPr>
            <w:tcW w:w="3974" w:type="dxa"/>
          </w:tcPr>
          <w:p w14:paraId="16498F69" w14:textId="77777777" w:rsidR="00B4238C" w:rsidRDefault="00B4238C" w:rsidP="00B4238C">
            <w:r>
              <w:t>Law Enforcement Agencies</w:t>
            </w:r>
          </w:p>
        </w:tc>
        <w:tc>
          <w:tcPr>
            <w:tcW w:w="1825" w:type="dxa"/>
            <w:vAlign w:val="center"/>
          </w:tcPr>
          <w:p w14:paraId="1F0F7521" w14:textId="59FCED6A" w:rsidR="00B4238C" w:rsidRDefault="00B1159F" w:rsidP="00B4238C">
            <w:pPr>
              <w:jc w:val="center"/>
            </w:pPr>
            <w:r>
              <w:t>X</w:t>
            </w:r>
          </w:p>
        </w:tc>
        <w:tc>
          <w:tcPr>
            <w:tcW w:w="1825" w:type="dxa"/>
            <w:vAlign w:val="center"/>
          </w:tcPr>
          <w:p w14:paraId="2F0D3F7E" w14:textId="468DA907" w:rsidR="00B4238C" w:rsidRDefault="00DF0D2A" w:rsidP="00B4238C">
            <w:pPr>
              <w:jc w:val="center"/>
            </w:pPr>
            <w:r>
              <w:t>X</w:t>
            </w:r>
          </w:p>
        </w:tc>
      </w:tr>
      <w:tr w:rsidR="00B4238C" w14:paraId="66153FEC" w14:textId="77777777" w:rsidTr="00B4238C">
        <w:trPr>
          <w:trHeight w:val="259"/>
        </w:trPr>
        <w:tc>
          <w:tcPr>
            <w:tcW w:w="3974" w:type="dxa"/>
          </w:tcPr>
          <w:p w14:paraId="6234C2CA" w14:textId="77777777" w:rsidR="00B4238C" w:rsidRDefault="00B4238C" w:rsidP="00B4238C">
            <w:r>
              <w:t>Local or State Government Agencies</w:t>
            </w:r>
          </w:p>
        </w:tc>
        <w:tc>
          <w:tcPr>
            <w:tcW w:w="1825" w:type="dxa"/>
            <w:vAlign w:val="center"/>
          </w:tcPr>
          <w:p w14:paraId="1D2197A7" w14:textId="572CF424" w:rsidR="00B4238C" w:rsidRDefault="00B1159F" w:rsidP="00B4238C">
            <w:pPr>
              <w:jc w:val="center"/>
            </w:pPr>
            <w:r>
              <w:t>X</w:t>
            </w:r>
          </w:p>
        </w:tc>
        <w:tc>
          <w:tcPr>
            <w:tcW w:w="1825" w:type="dxa"/>
            <w:vAlign w:val="center"/>
          </w:tcPr>
          <w:p w14:paraId="2CC39419" w14:textId="439A423E" w:rsidR="00B4238C" w:rsidRDefault="00DF0D2A" w:rsidP="00B4238C">
            <w:pPr>
              <w:jc w:val="center"/>
            </w:pPr>
            <w:r>
              <w:t>X</w:t>
            </w:r>
          </w:p>
        </w:tc>
      </w:tr>
      <w:tr w:rsidR="00B4238C" w14:paraId="3E828BA5" w14:textId="77777777" w:rsidTr="00B4238C">
        <w:trPr>
          <w:trHeight w:val="259"/>
        </w:trPr>
        <w:tc>
          <w:tcPr>
            <w:tcW w:w="3974" w:type="dxa"/>
          </w:tcPr>
          <w:p w14:paraId="58422D74" w14:textId="77777777" w:rsidR="00B4238C" w:rsidRDefault="00B4238C" w:rsidP="00B4238C">
            <w:r>
              <w:t>Media</w:t>
            </w:r>
          </w:p>
        </w:tc>
        <w:tc>
          <w:tcPr>
            <w:tcW w:w="1825" w:type="dxa"/>
            <w:vAlign w:val="center"/>
          </w:tcPr>
          <w:p w14:paraId="7DD6AA7B" w14:textId="77777777" w:rsidR="00B4238C" w:rsidRDefault="00B4238C" w:rsidP="00B4238C">
            <w:pPr>
              <w:jc w:val="center"/>
            </w:pPr>
          </w:p>
        </w:tc>
        <w:tc>
          <w:tcPr>
            <w:tcW w:w="1825" w:type="dxa"/>
            <w:vAlign w:val="center"/>
          </w:tcPr>
          <w:p w14:paraId="2F572DBE" w14:textId="0FEC100E" w:rsidR="00B4238C" w:rsidRDefault="00DF0D2A" w:rsidP="00B4238C">
            <w:pPr>
              <w:jc w:val="center"/>
            </w:pPr>
            <w:r>
              <w:t>X</w:t>
            </w:r>
          </w:p>
        </w:tc>
      </w:tr>
      <w:tr w:rsidR="00B4238C" w14:paraId="3C1EC875" w14:textId="77777777" w:rsidTr="00B4238C">
        <w:trPr>
          <w:trHeight w:val="275"/>
        </w:trPr>
        <w:tc>
          <w:tcPr>
            <w:tcW w:w="3974" w:type="dxa"/>
          </w:tcPr>
          <w:p w14:paraId="31340691" w14:textId="77777777" w:rsidR="00B4238C" w:rsidRDefault="00B4238C" w:rsidP="00B4238C">
            <w:r>
              <w:lastRenderedPageBreak/>
              <w:t>Other Groups/Organizations</w:t>
            </w:r>
          </w:p>
        </w:tc>
        <w:tc>
          <w:tcPr>
            <w:tcW w:w="1825" w:type="dxa"/>
            <w:vAlign w:val="center"/>
          </w:tcPr>
          <w:p w14:paraId="33ECC969" w14:textId="729EF3D9" w:rsidR="00B4238C" w:rsidRDefault="00B1159F" w:rsidP="00B4238C">
            <w:pPr>
              <w:jc w:val="center"/>
            </w:pPr>
            <w:r>
              <w:t>X</w:t>
            </w:r>
          </w:p>
        </w:tc>
        <w:tc>
          <w:tcPr>
            <w:tcW w:w="1825" w:type="dxa"/>
            <w:vAlign w:val="center"/>
          </w:tcPr>
          <w:p w14:paraId="1DF787BB" w14:textId="6E30A028" w:rsidR="00B4238C" w:rsidRDefault="00DF0D2A" w:rsidP="00B4238C">
            <w:pPr>
              <w:jc w:val="center"/>
            </w:pPr>
            <w:r>
              <w:t>X</w:t>
            </w:r>
          </w:p>
        </w:tc>
      </w:tr>
      <w:tr w:rsidR="00B4238C" w14:paraId="16065559" w14:textId="77777777" w:rsidTr="00B4238C">
        <w:trPr>
          <w:trHeight w:val="275"/>
        </w:trPr>
        <w:tc>
          <w:tcPr>
            <w:tcW w:w="3974" w:type="dxa"/>
          </w:tcPr>
          <w:p w14:paraId="03FCFAD6" w14:textId="77777777" w:rsidR="00B4238C" w:rsidRDefault="00B4238C" w:rsidP="00B4238C">
            <w:r>
              <w:t>Parent/Family/Caregivers</w:t>
            </w:r>
          </w:p>
        </w:tc>
        <w:tc>
          <w:tcPr>
            <w:tcW w:w="1825" w:type="dxa"/>
            <w:vAlign w:val="center"/>
          </w:tcPr>
          <w:p w14:paraId="1B2F9E6A" w14:textId="56FDC5D0" w:rsidR="00B4238C" w:rsidRDefault="00B1159F" w:rsidP="00B4238C">
            <w:pPr>
              <w:jc w:val="center"/>
            </w:pPr>
            <w:r>
              <w:t>X</w:t>
            </w:r>
          </w:p>
        </w:tc>
        <w:tc>
          <w:tcPr>
            <w:tcW w:w="1825" w:type="dxa"/>
            <w:vAlign w:val="center"/>
          </w:tcPr>
          <w:p w14:paraId="0CDD049B" w14:textId="5A7D0BC7" w:rsidR="00B4238C" w:rsidRDefault="00DF0D2A" w:rsidP="00B4238C">
            <w:pPr>
              <w:jc w:val="center"/>
            </w:pPr>
            <w:r>
              <w:t>X</w:t>
            </w:r>
          </w:p>
        </w:tc>
      </w:tr>
      <w:tr w:rsidR="00B4238C" w14:paraId="56365B8B" w14:textId="77777777" w:rsidTr="00B4238C">
        <w:trPr>
          <w:trHeight w:val="259"/>
        </w:trPr>
        <w:tc>
          <w:tcPr>
            <w:tcW w:w="3974" w:type="dxa"/>
          </w:tcPr>
          <w:p w14:paraId="0C05032A" w14:textId="77777777" w:rsidR="00B4238C" w:rsidRDefault="00B4238C" w:rsidP="00B4238C">
            <w:r>
              <w:t>Schools or School Districts</w:t>
            </w:r>
          </w:p>
        </w:tc>
        <w:tc>
          <w:tcPr>
            <w:tcW w:w="1825" w:type="dxa"/>
            <w:vAlign w:val="center"/>
          </w:tcPr>
          <w:p w14:paraId="37570ED7" w14:textId="609AB1AC" w:rsidR="00B4238C" w:rsidRDefault="00B1159F" w:rsidP="00B4238C">
            <w:pPr>
              <w:jc w:val="center"/>
            </w:pPr>
            <w:r>
              <w:t>X</w:t>
            </w:r>
          </w:p>
        </w:tc>
        <w:tc>
          <w:tcPr>
            <w:tcW w:w="1825" w:type="dxa"/>
            <w:vAlign w:val="center"/>
          </w:tcPr>
          <w:p w14:paraId="21E12ADE" w14:textId="77777777" w:rsidR="00B4238C" w:rsidRDefault="00B4238C" w:rsidP="00B4238C">
            <w:pPr>
              <w:jc w:val="center"/>
            </w:pPr>
          </w:p>
        </w:tc>
      </w:tr>
      <w:tr w:rsidR="00B4238C" w14:paraId="3436B944" w14:textId="77777777" w:rsidTr="00B4238C">
        <w:trPr>
          <w:trHeight w:val="275"/>
        </w:trPr>
        <w:tc>
          <w:tcPr>
            <w:tcW w:w="3974" w:type="dxa"/>
          </w:tcPr>
          <w:p w14:paraId="7E62B59D" w14:textId="77777777" w:rsidR="00B4238C" w:rsidRDefault="00B4238C" w:rsidP="00B4238C">
            <w:r>
              <w:t>Youth or Student Groups</w:t>
            </w:r>
          </w:p>
        </w:tc>
        <w:tc>
          <w:tcPr>
            <w:tcW w:w="1825" w:type="dxa"/>
            <w:vAlign w:val="center"/>
          </w:tcPr>
          <w:p w14:paraId="2BDE4B3C" w14:textId="77777777" w:rsidR="00B4238C" w:rsidRDefault="00B4238C" w:rsidP="00B4238C">
            <w:pPr>
              <w:jc w:val="center"/>
            </w:pPr>
          </w:p>
        </w:tc>
        <w:tc>
          <w:tcPr>
            <w:tcW w:w="1825" w:type="dxa"/>
            <w:vAlign w:val="center"/>
          </w:tcPr>
          <w:p w14:paraId="09F918BD" w14:textId="77777777" w:rsidR="00B4238C" w:rsidRDefault="00B4238C" w:rsidP="00B4238C">
            <w:pPr>
              <w:jc w:val="center"/>
            </w:pPr>
          </w:p>
        </w:tc>
      </w:tr>
      <w:tr w:rsidR="00B4238C" w14:paraId="368EEF4A" w14:textId="77777777" w:rsidTr="00B4238C">
        <w:trPr>
          <w:trHeight w:val="259"/>
        </w:trPr>
        <w:tc>
          <w:tcPr>
            <w:tcW w:w="3974" w:type="dxa"/>
          </w:tcPr>
          <w:p w14:paraId="326E3ECB" w14:textId="77777777" w:rsidR="00B4238C" w:rsidRDefault="00B4238C" w:rsidP="00B4238C">
            <w:r>
              <w:t>Youth Serving Organizations</w:t>
            </w:r>
          </w:p>
        </w:tc>
        <w:tc>
          <w:tcPr>
            <w:tcW w:w="1825" w:type="dxa"/>
            <w:vAlign w:val="center"/>
          </w:tcPr>
          <w:p w14:paraId="4A6BCA76" w14:textId="77777777" w:rsidR="00B4238C" w:rsidRDefault="00B4238C" w:rsidP="00B4238C">
            <w:pPr>
              <w:jc w:val="center"/>
            </w:pPr>
          </w:p>
        </w:tc>
        <w:tc>
          <w:tcPr>
            <w:tcW w:w="1825" w:type="dxa"/>
            <w:vAlign w:val="center"/>
          </w:tcPr>
          <w:p w14:paraId="2442ED1B" w14:textId="0A39A4D7" w:rsidR="00B4238C" w:rsidRDefault="00DF0D2A" w:rsidP="00B4238C">
            <w:pPr>
              <w:jc w:val="center"/>
            </w:pPr>
            <w:r>
              <w:t>X</w:t>
            </w:r>
          </w:p>
        </w:tc>
      </w:tr>
      <w:tr w:rsidR="00DF0D2A" w14:paraId="5E55F7A7" w14:textId="77777777" w:rsidTr="00B4238C">
        <w:trPr>
          <w:trHeight w:val="259"/>
        </w:trPr>
        <w:tc>
          <w:tcPr>
            <w:tcW w:w="3974" w:type="dxa"/>
          </w:tcPr>
          <w:p w14:paraId="25BD0876" w14:textId="5C19E765" w:rsidR="00DF0D2A" w:rsidRDefault="00DF0D2A" w:rsidP="00B4238C">
            <w:r>
              <w:t>Liquor Control Commission</w:t>
            </w:r>
          </w:p>
        </w:tc>
        <w:tc>
          <w:tcPr>
            <w:tcW w:w="1825" w:type="dxa"/>
            <w:vAlign w:val="center"/>
          </w:tcPr>
          <w:p w14:paraId="5FFA6757" w14:textId="299F1004" w:rsidR="00DF0D2A" w:rsidRDefault="00B1159F" w:rsidP="00B4238C">
            <w:pPr>
              <w:jc w:val="center"/>
            </w:pPr>
            <w:r>
              <w:t>X</w:t>
            </w:r>
          </w:p>
        </w:tc>
        <w:tc>
          <w:tcPr>
            <w:tcW w:w="1825" w:type="dxa"/>
            <w:vAlign w:val="center"/>
          </w:tcPr>
          <w:p w14:paraId="245B5198" w14:textId="68CEEB33" w:rsidR="00DF0D2A" w:rsidRDefault="00DF0D2A" w:rsidP="00B4238C">
            <w:pPr>
              <w:jc w:val="center"/>
            </w:pPr>
            <w:r>
              <w:t>X</w:t>
            </w:r>
          </w:p>
        </w:tc>
      </w:tr>
      <w:tr w:rsidR="00B4238C" w14:paraId="1C7A8794" w14:textId="77777777" w:rsidTr="00B4238C">
        <w:trPr>
          <w:trHeight w:val="259"/>
        </w:trPr>
        <w:tc>
          <w:tcPr>
            <w:tcW w:w="3974" w:type="dxa"/>
          </w:tcPr>
          <w:p w14:paraId="247EB27E" w14:textId="77777777" w:rsidR="00B4238C" w:rsidRPr="008B0D14" w:rsidRDefault="00B4238C" w:rsidP="00B4238C">
            <w:pPr>
              <w:jc w:val="center"/>
              <w:rPr>
                <w:b/>
              </w:rPr>
            </w:pPr>
            <w:r w:rsidRPr="008B0D14">
              <w:rPr>
                <w:b/>
              </w:rPr>
              <w:t>Total Sectors Represented</w:t>
            </w:r>
          </w:p>
        </w:tc>
        <w:tc>
          <w:tcPr>
            <w:tcW w:w="1825" w:type="dxa"/>
            <w:vAlign w:val="center"/>
          </w:tcPr>
          <w:p w14:paraId="2B923FA0" w14:textId="7A19AD6A" w:rsidR="00B4238C" w:rsidRPr="008B0D14" w:rsidRDefault="00B1159F" w:rsidP="00B4238C">
            <w:pPr>
              <w:jc w:val="center"/>
              <w:rPr>
                <w:b/>
              </w:rPr>
            </w:pPr>
            <w:r>
              <w:rPr>
                <w:b/>
              </w:rPr>
              <w:t>10</w:t>
            </w:r>
          </w:p>
        </w:tc>
        <w:tc>
          <w:tcPr>
            <w:tcW w:w="1825" w:type="dxa"/>
            <w:vAlign w:val="center"/>
          </w:tcPr>
          <w:p w14:paraId="249FAB47" w14:textId="632A034C" w:rsidR="00B4238C" w:rsidRPr="008B0D14" w:rsidRDefault="00DF0D2A" w:rsidP="00B4238C">
            <w:pPr>
              <w:jc w:val="center"/>
              <w:rPr>
                <w:b/>
              </w:rPr>
            </w:pPr>
            <w:r>
              <w:rPr>
                <w:b/>
              </w:rPr>
              <w:t>10</w:t>
            </w:r>
          </w:p>
        </w:tc>
      </w:tr>
    </w:tbl>
    <w:p w14:paraId="22B50673" w14:textId="77777777" w:rsidR="00B4238C" w:rsidRDefault="00B4238C" w:rsidP="00B4238C"/>
    <w:p w14:paraId="36B4F5F8" w14:textId="34FAD28C" w:rsidR="00B4238C" w:rsidRDefault="00B4238C" w:rsidP="00B4238C">
      <w:pPr>
        <w:pStyle w:val="Heading2"/>
      </w:pPr>
      <w:bookmarkStart w:id="13" w:name="_Toc45026648"/>
      <w:r>
        <w:t>Iroquois-Kankakee Regional Office of Education</w:t>
      </w:r>
      <w:bookmarkEnd w:id="13"/>
      <w:r>
        <w:t xml:space="preserve"> </w:t>
      </w:r>
    </w:p>
    <w:p w14:paraId="156C1E8D" w14:textId="1AA5FB1E" w:rsidR="00DF0D2A" w:rsidRPr="00DF0D2A" w:rsidRDefault="00DF0D2A" w:rsidP="00DF0D2A">
      <w:r>
        <w:t xml:space="preserve">The Iroquois County coalition is named the Iroquois County Juvenile Justice Council. </w:t>
      </w:r>
      <w:r w:rsidRPr="008639D8">
        <w:t>T</w:t>
      </w:r>
      <w:r>
        <w:t xml:space="preserve">his coalition </w:t>
      </w:r>
      <w:r w:rsidR="00B1159F">
        <w:t>met 4 times in 2019 and had 4 subcommittee meetings</w:t>
      </w:r>
      <w:r>
        <w:t>. In 2020, there were 5 coalition meetings and 2 subcommittee meetings. Below is the coalition sector representation.</w:t>
      </w:r>
    </w:p>
    <w:tbl>
      <w:tblPr>
        <w:tblStyle w:val="TableGrid"/>
        <w:tblW w:w="7624" w:type="dxa"/>
        <w:tblInd w:w="0" w:type="dxa"/>
        <w:tblLook w:val="04A0" w:firstRow="1" w:lastRow="0" w:firstColumn="1" w:lastColumn="0" w:noHBand="0" w:noVBand="1"/>
      </w:tblPr>
      <w:tblGrid>
        <w:gridCol w:w="3974"/>
        <w:gridCol w:w="1825"/>
        <w:gridCol w:w="1825"/>
      </w:tblGrid>
      <w:tr w:rsidR="00B4238C" w14:paraId="519CA2DE" w14:textId="77777777" w:rsidTr="00B4238C">
        <w:trPr>
          <w:trHeight w:val="275"/>
        </w:trPr>
        <w:tc>
          <w:tcPr>
            <w:tcW w:w="3974" w:type="dxa"/>
          </w:tcPr>
          <w:p w14:paraId="574CE9CF" w14:textId="77777777" w:rsidR="00B4238C" w:rsidRPr="00AA493D" w:rsidRDefault="00B4238C" w:rsidP="00B4238C">
            <w:pPr>
              <w:jc w:val="center"/>
              <w:rPr>
                <w:b/>
              </w:rPr>
            </w:pPr>
            <w:r w:rsidRPr="00AA493D">
              <w:rPr>
                <w:b/>
              </w:rPr>
              <w:t>Sectors</w:t>
            </w:r>
          </w:p>
        </w:tc>
        <w:tc>
          <w:tcPr>
            <w:tcW w:w="1825" w:type="dxa"/>
          </w:tcPr>
          <w:p w14:paraId="3CB28550" w14:textId="77777777" w:rsidR="00B4238C" w:rsidRPr="00AA493D" w:rsidRDefault="00B4238C" w:rsidP="00B4238C">
            <w:pPr>
              <w:jc w:val="center"/>
              <w:rPr>
                <w:b/>
              </w:rPr>
            </w:pPr>
            <w:r w:rsidRPr="00AA493D">
              <w:rPr>
                <w:b/>
              </w:rPr>
              <w:t>FY201</w:t>
            </w:r>
            <w:r>
              <w:rPr>
                <w:b/>
              </w:rPr>
              <w:t>9</w:t>
            </w:r>
          </w:p>
        </w:tc>
        <w:tc>
          <w:tcPr>
            <w:tcW w:w="1825" w:type="dxa"/>
          </w:tcPr>
          <w:p w14:paraId="27B1231C" w14:textId="77777777" w:rsidR="00B4238C" w:rsidRPr="00AA493D" w:rsidRDefault="00B4238C" w:rsidP="00B4238C">
            <w:pPr>
              <w:jc w:val="center"/>
              <w:rPr>
                <w:b/>
              </w:rPr>
            </w:pPr>
            <w:r w:rsidRPr="00AA493D">
              <w:rPr>
                <w:b/>
              </w:rPr>
              <w:t>FY20</w:t>
            </w:r>
            <w:r>
              <w:rPr>
                <w:b/>
              </w:rPr>
              <w:t>20</w:t>
            </w:r>
          </w:p>
        </w:tc>
      </w:tr>
      <w:tr w:rsidR="00B4238C" w14:paraId="621CDB4F" w14:textId="77777777" w:rsidTr="00B4238C">
        <w:trPr>
          <w:trHeight w:val="259"/>
        </w:trPr>
        <w:tc>
          <w:tcPr>
            <w:tcW w:w="3974" w:type="dxa"/>
          </w:tcPr>
          <w:p w14:paraId="0120F33F" w14:textId="77777777" w:rsidR="00B4238C" w:rsidRDefault="00B4238C" w:rsidP="00B4238C">
            <w:r>
              <w:t>Business Community</w:t>
            </w:r>
          </w:p>
        </w:tc>
        <w:tc>
          <w:tcPr>
            <w:tcW w:w="1825" w:type="dxa"/>
            <w:vAlign w:val="center"/>
          </w:tcPr>
          <w:p w14:paraId="68206E22" w14:textId="77777777" w:rsidR="00B4238C" w:rsidRDefault="00B4238C" w:rsidP="00B4238C">
            <w:pPr>
              <w:jc w:val="center"/>
            </w:pPr>
          </w:p>
        </w:tc>
        <w:tc>
          <w:tcPr>
            <w:tcW w:w="1825" w:type="dxa"/>
            <w:vAlign w:val="center"/>
          </w:tcPr>
          <w:p w14:paraId="3F2DFBAC" w14:textId="77777777" w:rsidR="00B4238C" w:rsidRDefault="00B4238C" w:rsidP="00B4238C">
            <w:pPr>
              <w:jc w:val="center"/>
            </w:pPr>
          </w:p>
        </w:tc>
      </w:tr>
      <w:tr w:rsidR="00B4238C" w14:paraId="51AA9180" w14:textId="77777777" w:rsidTr="00B4238C">
        <w:trPr>
          <w:trHeight w:val="275"/>
        </w:trPr>
        <w:tc>
          <w:tcPr>
            <w:tcW w:w="3974" w:type="dxa"/>
          </w:tcPr>
          <w:p w14:paraId="08166023" w14:textId="77777777" w:rsidR="00B4238C" w:rsidRDefault="00B4238C" w:rsidP="00B4238C">
            <w:r>
              <w:t>Civic or Volunteer Organizations</w:t>
            </w:r>
          </w:p>
        </w:tc>
        <w:tc>
          <w:tcPr>
            <w:tcW w:w="1825" w:type="dxa"/>
            <w:vAlign w:val="center"/>
          </w:tcPr>
          <w:p w14:paraId="5D72CA8C" w14:textId="6C9F7514" w:rsidR="00B4238C" w:rsidRDefault="00B1159F" w:rsidP="00B4238C">
            <w:pPr>
              <w:jc w:val="center"/>
            </w:pPr>
            <w:r>
              <w:t>X</w:t>
            </w:r>
          </w:p>
        </w:tc>
        <w:tc>
          <w:tcPr>
            <w:tcW w:w="1825" w:type="dxa"/>
            <w:vAlign w:val="center"/>
          </w:tcPr>
          <w:p w14:paraId="17D140AB" w14:textId="008DEDC8" w:rsidR="00B4238C" w:rsidRDefault="00DF0D2A" w:rsidP="00B4238C">
            <w:pPr>
              <w:jc w:val="center"/>
            </w:pPr>
            <w:r>
              <w:t>X</w:t>
            </w:r>
          </w:p>
        </w:tc>
      </w:tr>
      <w:tr w:rsidR="00B4238C" w14:paraId="4C01CF47" w14:textId="77777777" w:rsidTr="00B4238C">
        <w:trPr>
          <w:trHeight w:val="259"/>
        </w:trPr>
        <w:tc>
          <w:tcPr>
            <w:tcW w:w="3974" w:type="dxa"/>
          </w:tcPr>
          <w:p w14:paraId="179CA9E1" w14:textId="77777777" w:rsidR="00B4238C" w:rsidRDefault="00B4238C" w:rsidP="00B4238C">
            <w:r>
              <w:t>Faith-Based Organizations</w:t>
            </w:r>
          </w:p>
        </w:tc>
        <w:tc>
          <w:tcPr>
            <w:tcW w:w="1825" w:type="dxa"/>
            <w:vAlign w:val="center"/>
          </w:tcPr>
          <w:p w14:paraId="702DD010" w14:textId="77777777" w:rsidR="00B4238C" w:rsidRDefault="00B4238C" w:rsidP="00B4238C">
            <w:pPr>
              <w:jc w:val="center"/>
            </w:pPr>
          </w:p>
        </w:tc>
        <w:tc>
          <w:tcPr>
            <w:tcW w:w="1825" w:type="dxa"/>
            <w:vAlign w:val="center"/>
          </w:tcPr>
          <w:p w14:paraId="2893DFEA" w14:textId="77777777" w:rsidR="00B4238C" w:rsidRDefault="00B4238C" w:rsidP="00B4238C">
            <w:pPr>
              <w:jc w:val="center"/>
            </w:pPr>
          </w:p>
        </w:tc>
      </w:tr>
      <w:tr w:rsidR="00B4238C" w14:paraId="63E56D2D" w14:textId="77777777" w:rsidTr="00B4238C">
        <w:trPr>
          <w:trHeight w:val="275"/>
        </w:trPr>
        <w:tc>
          <w:tcPr>
            <w:tcW w:w="3974" w:type="dxa"/>
          </w:tcPr>
          <w:p w14:paraId="7C79A444" w14:textId="77777777" w:rsidR="00B4238C" w:rsidRDefault="00B4238C" w:rsidP="00B4238C">
            <w:r>
              <w:t>Healthcare Professionals/Agencies</w:t>
            </w:r>
          </w:p>
        </w:tc>
        <w:tc>
          <w:tcPr>
            <w:tcW w:w="1825" w:type="dxa"/>
            <w:vAlign w:val="center"/>
          </w:tcPr>
          <w:p w14:paraId="619FBDDC" w14:textId="3C5B6F89" w:rsidR="00B4238C" w:rsidRDefault="00B1159F" w:rsidP="00B4238C">
            <w:pPr>
              <w:jc w:val="center"/>
            </w:pPr>
            <w:r>
              <w:t>X</w:t>
            </w:r>
          </w:p>
        </w:tc>
        <w:tc>
          <w:tcPr>
            <w:tcW w:w="1825" w:type="dxa"/>
            <w:vAlign w:val="center"/>
          </w:tcPr>
          <w:p w14:paraId="4843962F" w14:textId="5FE7B240" w:rsidR="00B4238C" w:rsidRDefault="00DF0D2A" w:rsidP="00B4238C">
            <w:pPr>
              <w:jc w:val="center"/>
            </w:pPr>
            <w:r>
              <w:t>X</w:t>
            </w:r>
          </w:p>
        </w:tc>
      </w:tr>
      <w:tr w:rsidR="00B4238C" w14:paraId="47BF3708" w14:textId="77777777" w:rsidTr="00B4238C">
        <w:trPr>
          <w:trHeight w:val="259"/>
        </w:trPr>
        <w:tc>
          <w:tcPr>
            <w:tcW w:w="3974" w:type="dxa"/>
          </w:tcPr>
          <w:p w14:paraId="739A4AF6" w14:textId="77777777" w:rsidR="00B4238C" w:rsidRDefault="00B4238C" w:rsidP="00B4238C">
            <w:r>
              <w:t>Law Enforcement Agencies</w:t>
            </w:r>
          </w:p>
        </w:tc>
        <w:tc>
          <w:tcPr>
            <w:tcW w:w="1825" w:type="dxa"/>
            <w:vAlign w:val="center"/>
          </w:tcPr>
          <w:p w14:paraId="013AA3A0" w14:textId="1AD2AA92" w:rsidR="00B4238C" w:rsidRDefault="00B1159F" w:rsidP="00B4238C">
            <w:pPr>
              <w:jc w:val="center"/>
            </w:pPr>
            <w:r>
              <w:t>X</w:t>
            </w:r>
          </w:p>
        </w:tc>
        <w:tc>
          <w:tcPr>
            <w:tcW w:w="1825" w:type="dxa"/>
            <w:vAlign w:val="center"/>
          </w:tcPr>
          <w:p w14:paraId="41A3E619" w14:textId="56AE1B9D" w:rsidR="00B4238C" w:rsidRDefault="00DF0D2A" w:rsidP="00B4238C">
            <w:pPr>
              <w:jc w:val="center"/>
            </w:pPr>
            <w:r>
              <w:t>X</w:t>
            </w:r>
          </w:p>
        </w:tc>
      </w:tr>
      <w:tr w:rsidR="00B4238C" w14:paraId="193CD8BB" w14:textId="77777777" w:rsidTr="00B4238C">
        <w:trPr>
          <w:trHeight w:val="259"/>
        </w:trPr>
        <w:tc>
          <w:tcPr>
            <w:tcW w:w="3974" w:type="dxa"/>
          </w:tcPr>
          <w:p w14:paraId="0DAF0D12" w14:textId="77777777" w:rsidR="00B4238C" w:rsidRDefault="00B4238C" w:rsidP="00B4238C">
            <w:r>
              <w:t>Local or State Government Agencies</w:t>
            </w:r>
          </w:p>
        </w:tc>
        <w:tc>
          <w:tcPr>
            <w:tcW w:w="1825" w:type="dxa"/>
            <w:vAlign w:val="center"/>
          </w:tcPr>
          <w:p w14:paraId="0F9512E1" w14:textId="77777777" w:rsidR="00B4238C" w:rsidRDefault="00B4238C" w:rsidP="00B4238C">
            <w:pPr>
              <w:jc w:val="center"/>
            </w:pPr>
          </w:p>
        </w:tc>
        <w:tc>
          <w:tcPr>
            <w:tcW w:w="1825" w:type="dxa"/>
            <w:vAlign w:val="center"/>
          </w:tcPr>
          <w:p w14:paraId="65020313" w14:textId="70663D95" w:rsidR="00B4238C" w:rsidRDefault="00DF0D2A" w:rsidP="00B4238C">
            <w:pPr>
              <w:jc w:val="center"/>
            </w:pPr>
            <w:r>
              <w:t>X</w:t>
            </w:r>
          </w:p>
        </w:tc>
      </w:tr>
      <w:tr w:rsidR="00B4238C" w14:paraId="4488B69D" w14:textId="77777777" w:rsidTr="00B4238C">
        <w:trPr>
          <w:trHeight w:val="259"/>
        </w:trPr>
        <w:tc>
          <w:tcPr>
            <w:tcW w:w="3974" w:type="dxa"/>
          </w:tcPr>
          <w:p w14:paraId="4E5335D4" w14:textId="77777777" w:rsidR="00B4238C" w:rsidRDefault="00B4238C" w:rsidP="00B4238C">
            <w:r>
              <w:t>Media</w:t>
            </w:r>
          </w:p>
        </w:tc>
        <w:tc>
          <w:tcPr>
            <w:tcW w:w="1825" w:type="dxa"/>
            <w:vAlign w:val="center"/>
          </w:tcPr>
          <w:p w14:paraId="6944F32F" w14:textId="1EE667AD" w:rsidR="00B4238C" w:rsidRDefault="00B1159F" w:rsidP="00B4238C">
            <w:pPr>
              <w:jc w:val="center"/>
            </w:pPr>
            <w:r>
              <w:t>X</w:t>
            </w:r>
          </w:p>
        </w:tc>
        <w:tc>
          <w:tcPr>
            <w:tcW w:w="1825" w:type="dxa"/>
            <w:vAlign w:val="center"/>
          </w:tcPr>
          <w:p w14:paraId="153244DE" w14:textId="1D557E62" w:rsidR="00B4238C" w:rsidRDefault="00DF0D2A" w:rsidP="00B4238C">
            <w:pPr>
              <w:jc w:val="center"/>
            </w:pPr>
            <w:r>
              <w:t>X</w:t>
            </w:r>
          </w:p>
        </w:tc>
      </w:tr>
      <w:tr w:rsidR="00B4238C" w14:paraId="451F7C7B" w14:textId="77777777" w:rsidTr="00B4238C">
        <w:trPr>
          <w:trHeight w:val="275"/>
        </w:trPr>
        <w:tc>
          <w:tcPr>
            <w:tcW w:w="3974" w:type="dxa"/>
          </w:tcPr>
          <w:p w14:paraId="4BD28731" w14:textId="77777777" w:rsidR="00B4238C" w:rsidRDefault="00B4238C" w:rsidP="00B4238C">
            <w:r>
              <w:t>Other Groups/Organizations</w:t>
            </w:r>
          </w:p>
        </w:tc>
        <w:tc>
          <w:tcPr>
            <w:tcW w:w="1825" w:type="dxa"/>
            <w:vAlign w:val="center"/>
          </w:tcPr>
          <w:p w14:paraId="66993AB1" w14:textId="08241A03" w:rsidR="00B4238C" w:rsidRDefault="00B1159F" w:rsidP="00B4238C">
            <w:pPr>
              <w:jc w:val="center"/>
            </w:pPr>
            <w:r>
              <w:t>X</w:t>
            </w:r>
          </w:p>
        </w:tc>
        <w:tc>
          <w:tcPr>
            <w:tcW w:w="1825" w:type="dxa"/>
            <w:vAlign w:val="center"/>
          </w:tcPr>
          <w:p w14:paraId="1F6D749D" w14:textId="73DE35D0" w:rsidR="00B4238C" w:rsidRDefault="00DF0D2A" w:rsidP="00B4238C">
            <w:pPr>
              <w:jc w:val="center"/>
            </w:pPr>
            <w:r>
              <w:t>X</w:t>
            </w:r>
          </w:p>
        </w:tc>
      </w:tr>
      <w:tr w:rsidR="00B4238C" w14:paraId="6327B03E" w14:textId="77777777" w:rsidTr="00B4238C">
        <w:trPr>
          <w:trHeight w:val="275"/>
        </w:trPr>
        <w:tc>
          <w:tcPr>
            <w:tcW w:w="3974" w:type="dxa"/>
          </w:tcPr>
          <w:p w14:paraId="63F76588" w14:textId="77777777" w:rsidR="00B4238C" w:rsidRDefault="00B4238C" w:rsidP="00B4238C">
            <w:r>
              <w:t>Parent/Family/Caregivers</w:t>
            </w:r>
          </w:p>
        </w:tc>
        <w:tc>
          <w:tcPr>
            <w:tcW w:w="1825" w:type="dxa"/>
            <w:vAlign w:val="center"/>
          </w:tcPr>
          <w:p w14:paraId="24FEECFF" w14:textId="6C06A779" w:rsidR="00B4238C" w:rsidRDefault="00B1159F" w:rsidP="00B4238C">
            <w:pPr>
              <w:jc w:val="center"/>
            </w:pPr>
            <w:r>
              <w:t>X</w:t>
            </w:r>
          </w:p>
        </w:tc>
        <w:tc>
          <w:tcPr>
            <w:tcW w:w="1825" w:type="dxa"/>
            <w:vAlign w:val="center"/>
          </w:tcPr>
          <w:p w14:paraId="62D6BD43" w14:textId="77777777" w:rsidR="00B4238C" w:rsidRDefault="00B4238C" w:rsidP="00B4238C">
            <w:pPr>
              <w:jc w:val="center"/>
            </w:pPr>
          </w:p>
        </w:tc>
      </w:tr>
      <w:tr w:rsidR="00B4238C" w14:paraId="2835CBF2" w14:textId="77777777" w:rsidTr="00B4238C">
        <w:trPr>
          <w:trHeight w:val="259"/>
        </w:trPr>
        <w:tc>
          <w:tcPr>
            <w:tcW w:w="3974" w:type="dxa"/>
          </w:tcPr>
          <w:p w14:paraId="04A132DD" w14:textId="77777777" w:rsidR="00B4238C" w:rsidRDefault="00B4238C" w:rsidP="00B4238C">
            <w:r>
              <w:t>Schools or School Districts</w:t>
            </w:r>
          </w:p>
        </w:tc>
        <w:tc>
          <w:tcPr>
            <w:tcW w:w="1825" w:type="dxa"/>
            <w:vAlign w:val="center"/>
          </w:tcPr>
          <w:p w14:paraId="3728F0D2" w14:textId="5653CA9C" w:rsidR="00B4238C" w:rsidRDefault="00B1159F" w:rsidP="00B4238C">
            <w:pPr>
              <w:jc w:val="center"/>
            </w:pPr>
            <w:r>
              <w:t>X</w:t>
            </w:r>
          </w:p>
        </w:tc>
        <w:tc>
          <w:tcPr>
            <w:tcW w:w="1825" w:type="dxa"/>
            <w:vAlign w:val="center"/>
          </w:tcPr>
          <w:p w14:paraId="38AB8C65" w14:textId="2EC35FF4" w:rsidR="00B4238C" w:rsidRDefault="00DF0D2A" w:rsidP="00B4238C">
            <w:pPr>
              <w:jc w:val="center"/>
            </w:pPr>
            <w:r>
              <w:t>X</w:t>
            </w:r>
          </w:p>
        </w:tc>
      </w:tr>
      <w:tr w:rsidR="00B4238C" w14:paraId="59DB77BD" w14:textId="77777777" w:rsidTr="00B4238C">
        <w:trPr>
          <w:trHeight w:val="275"/>
        </w:trPr>
        <w:tc>
          <w:tcPr>
            <w:tcW w:w="3974" w:type="dxa"/>
          </w:tcPr>
          <w:p w14:paraId="32DDC0CE" w14:textId="77777777" w:rsidR="00B4238C" w:rsidRDefault="00B4238C" w:rsidP="00B4238C">
            <w:r>
              <w:t>Youth or Student Groups</w:t>
            </w:r>
          </w:p>
        </w:tc>
        <w:tc>
          <w:tcPr>
            <w:tcW w:w="1825" w:type="dxa"/>
            <w:vAlign w:val="center"/>
          </w:tcPr>
          <w:p w14:paraId="003A7A07" w14:textId="77777777" w:rsidR="00B4238C" w:rsidRDefault="00B4238C" w:rsidP="00B4238C">
            <w:pPr>
              <w:jc w:val="center"/>
            </w:pPr>
          </w:p>
        </w:tc>
        <w:tc>
          <w:tcPr>
            <w:tcW w:w="1825" w:type="dxa"/>
            <w:vAlign w:val="center"/>
          </w:tcPr>
          <w:p w14:paraId="5E681431" w14:textId="77777777" w:rsidR="00B4238C" w:rsidRDefault="00B4238C" w:rsidP="00B4238C">
            <w:pPr>
              <w:jc w:val="center"/>
            </w:pPr>
          </w:p>
        </w:tc>
      </w:tr>
      <w:tr w:rsidR="00B4238C" w14:paraId="62280ADA" w14:textId="77777777" w:rsidTr="00B4238C">
        <w:trPr>
          <w:trHeight w:val="259"/>
        </w:trPr>
        <w:tc>
          <w:tcPr>
            <w:tcW w:w="3974" w:type="dxa"/>
          </w:tcPr>
          <w:p w14:paraId="538D7104" w14:textId="77777777" w:rsidR="00B4238C" w:rsidRDefault="00B4238C" w:rsidP="00B4238C">
            <w:r>
              <w:t>Youth Serving Organizations</w:t>
            </w:r>
          </w:p>
        </w:tc>
        <w:tc>
          <w:tcPr>
            <w:tcW w:w="1825" w:type="dxa"/>
            <w:vAlign w:val="center"/>
          </w:tcPr>
          <w:p w14:paraId="74357ABF" w14:textId="6790B409" w:rsidR="00B4238C" w:rsidRDefault="00B1159F" w:rsidP="00B4238C">
            <w:pPr>
              <w:jc w:val="center"/>
            </w:pPr>
            <w:r>
              <w:t>X</w:t>
            </w:r>
          </w:p>
        </w:tc>
        <w:tc>
          <w:tcPr>
            <w:tcW w:w="1825" w:type="dxa"/>
            <w:vAlign w:val="center"/>
          </w:tcPr>
          <w:p w14:paraId="42B2D87D" w14:textId="1844E2FE" w:rsidR="00B4238C" w:rsidRDefault="00DF0D2A" w:rsidP="00B4238C">
            <w:pPr>
              <w:jc w:val="center"/>
            </w:pPr>
            <w:r>
              <w:t>X</w:t>
            </w:r>
          </w:p>
        </w:tc>
      </w:tr>
      <w:tr w:rsidR="00DF0D2A" w14:paraId="601B8F66" w14:textId="77777777" w:rsidTr="005E5853">
        <w:trPr>
          <w:trHeight w:val="259"/>
        </w:trPr>
        <w:tc>
          <w:tcPr>
            <w:tcW w:w="3974" w:type="dxa"/>
          </w:tcPr>
          <w:p w14:paraId="7D111E58" w14:textId="77777777" w:rsidR="00DF0D2A" w:rsidRDefault="00DF0D2A" w:rsidP="005E5853">
            <w:r>
              <w:t>Liquor Control Commission</w:t>
            </w:r>
          </w:p>
        </w:tc>
        <w:tc>
          <w:tcPr>
            <w:tcW w:w="1825" w:type="dxa"/>
            <w:vAlign w:val="center"/>
          </w:tcPr>
          <w:p w14:paraId="14C61B7E" w14:textId="77777777" w:rsidR="00DF0D2A" w:rsidRDefault="00DF0D2A" w:rsidP="005E5853">
            <w:pPr>
              <w:jc w:val="center"/>
            </w:pPr>
          </w:p>
        </w:tc>
        <w:tc>
          <w:tcPr>
            <w:tcW w:w="1825" w:type="dxa"/>
            <w:vAlign w:val="center"/>
          </w:tcPr>
          <w:p w14:paraId="0F197EA1" w14:textId="1C591CA4" w:rsidR="00DF0D2A" w:rsidRDefault="00DF0D2A" w:rsidP="005E5853">
            <w:pPr>
              <w:jc w:val="center"/>
            </w:pPr>
          </w:p>
        </w:tc>
      </w:tr>
      <w:tr w:rsidR="00B4238C" w14:paraId="5440F424" w14:textId="77777777" w:rsidTr="00B4238C">
        <w:trPr>
          <w:trHeight w:val="259"/>
        </w:trPr>
        <w:tc>
          <w:tcPr>
            <w:tcW w:w="3974" w:type="dxa"/>
          </w:tcPr>
          <w:p w14:paraId="35352610" w14:textId="77777777" w:rsidR="00B4238C" w:rsidRPr="008B0D14" w:rsidRDefault="00B4238C" w:rsidP="00B4238C">
            <w:pPr>
              <w:jc w:val="center"/>
              <w:rPr>
                <w:b/>
              </w:rPr>
            </w:pPr>
            <w:r w:rsidRPr="008B0D14">
              <w:rPr>
                <w:b/>
              </w:rPr>
              <w:t>Total Sectors Represented</w:t>
            </w:r>
          </w:p>
        </w:tc>
        <w:tc>
          <w:tcPr>
            <w:tcW w:w="1825" w:type="dxa"/>
            <w:vAlign w:val="center"/>
          </w:tcPr>
          <w:p w14:paraId="5301F79F" w14:textId="3557B6A8" w:rsidR="00B4238C" w:rsidRPr="008B0D14" w:rsidRDefault="00B1159F" w:rsidP="00B4238C">
            <w:pPr>
              <w:jc w:val="center"/>
              <w:rPr>
                <w:b/>
              </w:rPr>
            </w:pPr>
            <w:r>
              <w:rPr>
                <w:b/>
              </w:rPr>
              <w:t>8</w:t>
            </w:r>
          </w:p>
        </w:tc>
        <w:tc>
          <w:tcPr>
            <w:tcW w:w="1825" w:type="dxa"/>
            <w:vAlign w:val="center"/>
          </w:tcPr>
          <w:p w14:paraId="0D85775D" w14:textId="25C4EB77" w:rsidR="00B4238C" w:rsidRPr="008B0D14" w:rsidRDefault="00DF0D2A" w:rsidP="00B4238C">
            <w:pPr>
              <w:jc w:val="center"/>
              <w:rPr>
                <w:b/>
              </w:rPr>
            </w:pPr>
            <w:r>
              <w:rPr>
                <w:b/>
              </w:rPr>
              <w:t>8</w:t>
            </w:r>
          </w:p>
        </w:tc>
      </w:tr>
    </w:tbl>
    <w:p w14:paraId="4C284E8D" w14:textId="77777777" w:rsidR="00B4238C" w:rsidRDefault="00B4238C" w:rsidP="00B4238C"/>
    <w:p w14:paraId="0F01527C" w14:textId="421BF32B" w:rsidR="00B4238C" w:rsidRDefault="00B4238C" w:rsidP="00B4238C">
      <w:pPr>
        <w:pStyle w:val="Heading2"/>
      </w:pPr>
      <w:bookmarkStart w:id="14" w:name="_Toc45026649"/>
      <w:r>
        <w:t>Kenneth Young Center</w:t>
      </w:r>
      <w:bookmarkEnd w:id="14"/>
      <w:r>
        <w:t xml:space="preserve"> </w:t>
      </w:r>
    </w:p>
    <w:p w14:paraId="454C8306" w14:textId="157B081B" w:rsidR="00DF0D2A" w:rsidRPr="00DF0D2A" w:rsidRDefault="00DF0D2A" w:rsidP="00DF0D2A">
      <w:r w:rsidRPr="00723A82">
        <w:t>The</w:t>
      </w:r>
      <w:r>
        <w:t xml:space="preserve"> coalition is named the Communities for Positive Youth Development (CYPD). </w:t>
      </w:r>
      <w:r w:rsidRPr="008639D8">
        <w:t>T</w:t>
      </w:r>
      <w:r>
        <w:t xml:space="preserve">his coalition </w:t>
      </w:r>
      <w:r w:rsidR="00B1159F">
        <w:t xml:space="preserve">met 5 times in 2019 and had 14 subcommittee meetings. </w:t>
      </w:r>
      <w:r>
        <w:t>In 2020, there were 3 coalition meetings and 13 subcommittee meetings. Below is the coalition sector representation.</w:t>
      </w:r>
    </w:p>
    <w:tbl>
      <w:tblPr>
        <w:tblStyle w:val="TableGrid"/>
        <w:tblW w:w="7624" w:type="dxa"/>
        <w:tblInd w:w="0" w:type="dxa"/>
        <w:tblLook w:val="04A0" w:firstRow="1" w:lastRow="0" w:firstColumn="1" w:lastColumn="0" w:noHBand="0" w:noVBand="1"/>
      </w:tblPr>
      <w:tblGrid>
        <w:gridCol w:w="3974"/>
        <w:gridCol w:w="1825"/>
        <w:gridCol w:w="1825"/>
      </w:tblGrid>
      <w:tr w:rsidR="00DF0D2A" w14:paraId="73766FB2" w14:textId="77777777" w:rsidTr="005E5853">
        <w:trPr>
          <w:trHeight w:val="275"/>
        </w:trPr>
        <w:tc>
          <w:tcPr>
            <w:tcW w:w="3974" w:type="dxa"/>
          </w:tcPr>
          <w:p w14:paraId="595EB627" w14:textId="77777777" w:rsidR="00DF0D2A" w:rsidRPr="00AA493D" w:rsidRDefault="00DF0D2A" w:rsidP="005E5853">
            <w:pPr>
              <w:jc w:val="center"/>
              <w:rPr>
                <w:b/>
              </w:rPr>
            </w:pPr>
            <w:r w:rsidRPr="00AA493D">
              <w:rPr>
                <w:b/>
              </w:rPr>
              <w:t>Sectors</w:t>
            </w:r>
          </w:p>
        </w:tc>
        <w:tc>
          <w:tcPr>
            <w:tcW w:w="1825" w:type="dxa"/>
          </w:tcPr>
          <w:p w14:paraId="217ED601" w14:textId="77777777" w:rsidR="00DF0D2A" w:rsidRPr="00AA493D" w:rsidRDefault="00DF0D2A" w:rsidP="005E5853">
            <w:pPr>
              <w:jc w:val="center"/>
              <w:rPr>
                <w:b/>
              </w:rPr>
            </w:pPr>
            <w:r w:rsidRPr="00AA493D">
              <w:rPr>
                <w:b/>
              </w:rPr>
              <w:t>FY201</w:t>
            </w:r>
            <w:r>
              <w:rPr>
                <w:b/>
              </w:rPr>
              <w:t>9</w:t>
            </w:r>
          </w:p>
        </w:tc>
        <w:tc>
          <w:tcPr>
            <w:tcW w:w="1825" w:type="dxa"/>
          </w:tcPr>
          <w:p w14:paraId="19E4A40E" w14:textId="77777777" w:rsidR="00DF0D2A" w:rsidRPr="00AA493D" w:rsidRDefault="00DF0D2A" w:rsidP="005E5853">
            <w:pPr>
              <w:jc w:val="center"/>
              <w:rPr>
                <w:b/>
              </w:rPr>
            </w:pPr>
            <w:r w:rsidRPr="00AA493D">
              <w:rPr>
                <w:b/>
              </w:rPr>
              <w:t>FY20</w:t>
            </w:r>
            <w:r>
              <w:rPr>
                <w:b/>
              </w:rPr>
              <w:t>20</w:t>
            </w:r>
          </w:p>
        </w:tc>
      </w:tr>
      <w:tr w:rsidR="00DF0D2A" w14:paraId="19BD04CD" w14:textId="77777777" w:rsidTr="005E5853">
        <w:trPr>
          <w:trHeight w:val="259"/>
        </w:trPr>
        <w:tc>
          <w:tcPr>
            <w:tcW w:w="3974" w:type="dxa"/>
          </w:tcPr>
          <w:p w14:paraId="21A7EBDD" w14:textId="77777777" w:rsidR="00DF0D2A" w:rsidRDefault="00DF0D2A" w:rsidP="005E5853">
            <w:r>
              <w:t>Business Community</w:t>
            </w:r>
          </w:p>
        </w:tc>
        <w:tc>
          <w:tcPr>
            <w:tcW w:w="1825" w:type="dxa"/>
            <w:vAlign w:val="center"/>
          </w:tcPr>
          <w:p w14:paraId="42103BDA" w14:textId="2BF2AAF5" w:rsidR="00DF0D2A" w:rsidRDefault="00B1159F" w:rsidP="005E5853">
            <w:pPr>
              <w:jc w:val="center"/>
            </w:pPr>
            <w:r>
              <w:t>X</w:t>
            </w:r>
          </w:p>
        </w:tc>
        <w:tc>
          <w:tcPr>
            <w:tcW w:w="1825" w:type="dxa"/>
            <w:vAlign w:val="center"/>
          </w:tcPr>
          <w:p w14:paraId="03D4E760" w14:textId="2851301F" w:rsidR="00DF0D2A" w:rsidRDefault="00DF0D2A" w:rsidP="005E5853">
            <w:pPr>
              <w:jc w:val="center"/>
            </w:pPr>
            <w:r>
              <w:t>X</w:t>
            </w:r>
          </w:p>
        </w:tc>
      </w:tr>
      <w:tr w:rsidR="00DF0D2A" w14:paraId="28545226" w14:textId="77777777" w:rsidTr="005E5853">
        <w:trPr>
          <w:trHeight w:val="275"/>
        </w:trPr>
        <w:tc>
          <w:tcPr>
            <w:tcW w:w="3974" w:type="dxa"/>
          </w:tcPr>
          <w:p w14:paraId="036DE56C" w14:textId="77777777" w:rsidR="00DF0D2A" w:rsidRDefault="00DF0D2A" w:rsidP="005E5853">
            <w:r>
              <w:t>Civic or Volunteer Organizations</w:t>
            </w:r>
          </w:p>
        </w:tc>
        <w:tc>
          <w:tcPr>
            <w:tcW w:w="1825" w:type="dxa"/>
            <w:vAlign w:val="center"/>
          </w:tcPr>
          <w:p w14:paraId="2A071583" w14:textId="179546DB" w:rsidR="00DF0D2A" w:rsidRDefault="00B1159F" w:rsidP="005E5853">
            <w:pPr>
              <w:jc w:val="center"/>
            </w:pPr>
            <w:r>
              <w:t>X</w:t>
            </w:r>
          </w:p>
        </w:tc>
        <w:tc>
          <w:tcPr>
            <w:tcW w:w="1825" w:type="dxa"/>
            <w:vAlign w:val="center"/>
          </w:tcPr>
          <w:p w14:paraId="6CD0FBAF" w14:textId="4DAFD985" w:rsidR="00DF0D2A" w:rsidRDefault="00DF0D2A" w:rsidP="005E5853">
            <w:pPr>
              <w:jc w:val="center"/>
            </w:pPr>
            <w:r>
              <w:t>X</w:t>
            </w:r>
          </w:p>
        </w:tc>
      </w:tr>
      <w:tr w:rsidR="00DF0D2A" w14:paraId="595428ED" w14:textId="77777777" w:rsidTr="005E5853">
        <w:trPr>
          <w:trHeight w:val="259"/>
        </w:trPr>
        <w:tc>
          <w:tcPr>
            <w:tcW w:w="3974" w:type="dxa"/>
          </w:tcPr>
          <w:p w14:paraId="45E05319" w14:textId="77777777" w:rsidR="00DF0D2A" w:rsidRDefault="00DF0D2A" w:rsidP="005E5853">
            <w:r>
              <w:t>Faith-Based Organizations</w:t>
            </w:r>
          </w:p>
        </w:tc>
        <w:tc>
          <w:tcPr>
            <w:tcW w:w="1825" w:type="dxa"/>
            <w:vAlign w:val="center"/>
          </w:tcPr>
          <w:p w14:paraId="49E0B103" w14:textId="54CC0ED5" w:rsidR="00DF0D2A" w:rsidRDefault="00B1159F" w:rsidP="005E5853">
            <w:pPr>
              <w:jc w:val="center"/>
            </w:pPr>
            <w:r>
              <w:t>X</w:t>
            </w:r>
          </w:p>
        </w:tc>
        <w:tc>
          <w:tcPr>
            <w:tcW w:w="1825" w:type="dxa"/>
            <w:vAlign w:val="center"/>
          </w:tcPr>
          <w:p w14:paraId="4BF38C24" w14:textId="6E38AF5C" w:rsidR="00DF0D2A" w:rsidRDefault="00DF0D2A" w:rsidP="005E5853">
            <w:pPr>
              <w:jc w:val="center"/>
            </w:pPr>
            <w:r>
              <w:t>X</w:t>
            </w:r>
          </w:p>
        </w:tc>
      </w:tr>
      <w:tr w:rsidR="00DF0D2A" w14:paraId="1730278F" w14:textId="77777777" w:rsidTr="005E5853">
        <w:trPr>
          <w:trHeight w:val="275"/>
        </w:trPr>
        <w:tc>
          <w:tcPr>
            <w:tcW w:w="3974" w:type="dxa"/>
          </w:tcPr>
          <w:p w14:paraId="0CB302DD" w14:textId="77777777" w:rsidR="00DF0D2A" w:rsidRDefault="00DF0D2A" w:rsidP="005E5853">
            <w:r>
              <w:t>Healthcare Professionals/Agencies</w:t>
            </w:r>
          </w:p>
        </w:tc>
        <w:tc>
          <w:tcPr>
            <w:tcW w:w="1825" w:type="dxa"/>
            <w:vAlign w:val="center"/>
          </w:tcPr>
          <w:p w14:paraId="4A8187F0" w14:textId="3361E1F6" w:rsidR="00DF0D2A" w:rsidRDefault="00B1159F" w:rsidP="005E5853">
            <w:pPr>
              <w:jc w:val="center"/>
            </w:pPr>
            <w:r>
              <w:t>X</w:t>
            </w:r>
          </w:p>
        </w:tc>
        <w:tc>
          <w:tcPr>
            <w:tcW w:w="1825" w:type="dxa"/>
            <w:vAlign w:val="center"/>
          </w:tcPr>
          <w:p w14:paraId="6648F01B" w14:textId="0FAC59C8" w:rsidR="00DF0D2A" w:rsidRDefault="00DF0D2A" w:rsidP="005E5853">
            <w:pPr>
              <w:jc w:val="center"/>
            </w:pPr>
            <w:r>
              <w:t>X</w:t>
            </w:r>
          </w:p>
        </w:tc>
      </w:tr>
      <w:tr w:rsidR="00DF0D2A" w14:paraId="2F34D66A" w14:textId="77777777" w:rsidTr="005E5853">
        <w:trPr>
          <w:trHeight w:val="259"/>
        </w:trPr>
        <w:tc>
          <w:tcPr>
            <w:tcW w:w="3974" w:type="dxa"/>
          </w:tcPr>
          <w:p w14:paraId="2D6A5412" w14:textId="77777777" w:rsidR="00DF0D2A" w:rsidRDefault="00DF0D2A" w:rsidP="005E5853">
            <w:r>
              <w:t>Law Enforcement Agencies</w:t>
            </w:r>
          </w:p>
        </w:tc>
        <w:tc>
          <w:tcPr>
            <w:tcW w:w="1825" w:type="dxa"/>
            <w:vAlign w:val="center"/>
          </w:tcPr>
          <w:p w14:paraId="6327F614" w14:textId="4D267960" w:rsidR="00DF0D2A" w:rsidRDefault="00B1159F" w:rsidP="005E5853">
            <w:pPr>
              <w:jc w:val="center"/>
            </w:pPr>
            <w:r>
              <w:t>X</w:t>
            </w:r>
          </w:p>
        </w:tc>
        <w:tc>
          <w:tcPr>
            <w:tcW w:w="1825" w:type="dxa"/>
            <w:vAlign w:val="center"/>
          </w:tcPr>
          <w:p w14:paraId="0F18384F" w14:textId="61FCFCC9" w:rsidR="00DF0D2A" w:rsidRDefault="00DF0D2A" w:rsidP="005E5853">
            <w:pPr>
              <w:jc w:val="center"/>
            </w:pPr>
            <w:r>
              <w:t>X</w:t>
            </w:r>
          </w:p>
        </w:tc>
      </w:tr>
      <w:tr w:rsidR="00DF0D2A" w14:paraId="74FCFB93" w14:textId="77777777" w:rsidTr="005E5853">
        <w:trPr>
          <w:trHeight w:val="259"/>
        </w:trPr>
        <w:tc>
          <w:tcPr>
            <w:tcW w:w="3974" w:type="dxa"/>
          </w:tcPr>
          <w:p w14:paraId="19125E54" w14:textId="77777777" w:rsidR="00DF0D2A" w:rsidRDefault="00DF0D2A" w:rsidP="005E5853">
            <w:r>
              <w:t>Local or State Government Agencies</w:t>
            </w:r>
          </w:p>
        </w:tc>
        <w:tc>
          <w:tcPr>
            <w:tcW w:w="1825" w:type="dxa"/>
            <w:vAlign w:val="center"/>
          </w:tcPr>
          <w:p w14:paraId="70B96A5E" w14:textId="580B3E00" w:rsidR="00DF0D2A" w:rsidRDefault="00B1159F" w:rsidP="005E5853">
            <w:pPr>
              <w:jc w:val="center"/>
            </w:pPr>
            <w:r>
              <w:t>X</w:t>
            </w:r>
          </w:p>
        </w:tc>
        <w:tc>
          <w:tcPr>
            <w:tcW w:w="1825" w:type="dxa"/>
            <w:vAlign w:val="center"/>
          </w:tcPr>
          <w:p w14:paraId="14329EA6" w14:textId="417A8E86" w:rsidR="00DF0D2A" w:rsidRDefault="00DF0D2A" w:rsidP="005E5853">
            <w:pPr>
              <w:jc w:val="center"/>
            </w:pPr>
            <w:r>
              <w:t>X</w:t>
            </w:r>
          </w:p>
        </w:tc>
      </w:tr>
      <w:tr w:rsidR="00DF0D2A" w14:paraId="43FCB79E" w14:textId="77777777" w:rsidTr="005E5853">
        <w:trPr>
          <w:trHeight w:val="259"/>
        </w:trPr>
        <w:tc>
          <w:tcPr>
            <w:tcW w:w="3974" w:type="dxa"/>
          </w:tcPr>
          <w:p w14:paraId="284C3C3A" w14:textId="77777777" w:rsidR="00DF0D2A" w:rsidRDefault="00DF0D2A" w:rsidP="005E5853">
            <w:r>
              <w:t>Media</w:t>
            </w:r>
          </w:p>
        </w:tc>
        <w:tc>
          <w:tcPr>
            <w:tcW w:w="1825" w:type="dxa"/>
            <w:vAlign w:val="center"/>
          </w:tcPr>
          <w:p w14:paraId="0FAF406F" w14:textId="425675F1" w:rsidR="00DF0D2A" w:rsidRDefault="00B1159F" w:rsidP="005E5853">
            <w:pPr>
              <w:jc w:val="center"/>
            </w:pPr>
            <w:r>
              <w:t>X</w:t>
            </w:r>
          </w:p>
        </w:tc>
        <w:tc>
          <w:tcPr>
            <w:tcW w:w="1825" w:type="dxa"/>
            <w:vAlign w:val="center"/>
          </w:tcPr>
          <w:p w14:paraId="5147A11D" w14:textId="15BA8CEA" w:rsidR="00DF0D2A" w:rsidRDefault="00DF0D2A" w:rsidP="005E5853">
            <w:pPr>
              <w:jc w:val="center"/>
            </w:pPr>
            <w:r>
              <w:t>X</w:t>
            </w:r>
          </w:p>
        </w:tc>
      </w:tr>
      <w:tr w:rsidR="00DF0D2A" w14:paraId="414BA6AA" w14:textId="77777777" w:rsidTr="005E5853">
        <w:trPr>
          <w:trHeight w:val="275"/>
        </w:trPr>
        <w:tc>
          <w:tcPr>
            <w:tcW w:w="3974" w:type="dxa"/>
          </w:tcPr>
          <w:p w14:paraId="511CF952" w14:textId="77777777" w:rsidR="00DF0D2A" w:rsidRDefault="00DF0D2A" w:rsidP="005E5853">
            <w:r>
              <w:lastRenderedPageBreak/>
              <w:t>Other Groups/Organizations</w:t>
            </w:r>
          </w:p>
        </w:tc>
        <w:tc>
          <w:tcPr>
            <w:tcW w:w="1825" w:type="dxa"/>
            <w:vAlign w:val="center"/>
          </w:tcPr>
          <w:p w14:paraId="5F959F38" w14:textId="09F786A1" w:rsidR="00DF0D2A" w:rsidRDefault="00B1159F" w:rsidP="005E5853">
            <w:pPr>
              <w:jc w:val="center"/>
            </w:pPr>
            <w:r>
              <w:t>X</w:t>
            </w:r>
          </w:p>
        </w:tc>
        <w:tc>
          <w:tcPr>
            <w:tcW w:w="1825" w:type="dxa"/>
            <w:vAlign w:val="center"/>
          </w:tcPr>
          <w:p w14:paraId="0A0A1EC8" w14:textId="30BCA581" w:rsidR="00DF0D2A" w:rsidRDefault="00DF0D2A" w:rsidP="005E5853">
            <w:pPr>
              <w:jc w:val="center"/>
            </w:pPr>
            <w:r>
              <w:t>X</w:t>
            </w:r>
          </w:p>
        </w:tc>
      </w:tr>
      <w:tr w:rsidR="00DF0D2A" w14:paraId="7438CD8F" w14:textId="77777777" w:rsidTr="005E5853">
        <w:trPr>
          <w:trHeight w:val="275"/>
        </w:trPr>
        <w:tc>
          <w:tcPr>
            <w:tcW w:w="3974" w:type="dxa"/>
          </w:tcPr>
          <w:p w14:paraId="0E459097" w14:textId="77777777" w:rsidR="00DF0D2A" w:rsidRDefault="00DF0D2A" w:rsidP="005E5853">
            <w:r>
              <w:t>Parent/Family/Caregivers</w:t>
            </w:r>
          </w:p>
        </w:tc>
        <w:tc>
          <w:tcPr>
            <w:tcW w:w="1825" w:type="dxa"/>
            <w:vAlign w:val="center"/>
          </w:tcPr>
          <w:p w14:paraId="1DC8B99D" w14:textId="77F48D6D" w:rsidR="00DF0D2A" w:rsidRDefault="00B1159F" w:rsidP="005E5853">
            <w:pPr>
              <w:jc w:val="center"/>
            </w:pPr>
            <w:r>
              <w:t>X</w:t>
            </w:r>
          </w:p>
        </w:tc>
        <w:tc>
          <w:tcPr>
            <w:tcW w:w="1825" w:type="dxa"/>
            <w:vAlign w:val="center"/>
          </w:tcPr>
          <w:p w14:paraId="38857DD3" w14:textId="50261E0E" w:rsidR="00DF0D2A" w:rsidRDefault="00DF0D2A" w:rsidP="005E5853">
            <w:pPr>
              <w:jc w:val="center"/>
            </w:pPr>
            <w:r>
              <w:t>X</w:t>
            </w:r>
          </w:p>
        </w:tc>
      </w:tr>
      <w:tr w:rsidR="00DF0D2A" w14:paraId="411E506A" w14:textId="77777777" w:rsidTr="005E5853">
        <w:trPr>
          <w:trHeight w:val="259"/>
        </w:trPr>
        <w:tc>
          <w:tcPr>
            <w:tcW w:w="3974" w:type="dxa"/>
          </w:tcPr>
          <w:p w14:paraId="4232D2D9" w14:textId="77777777" w:rsidR="00DF0D2A" w:rsidRDefault="00DF0D2A" w:rsidP="005E5853">
            <w:r>
              <w:t>Schools or School Districts</w:t>
            </w:r>
          </w:p>
        </w:tc>
        <w:tc>
          <w:tcPr>
            <w:tcW w:w="1825" w:type="dxa"/>
            <w:vAlign w:val="center"/>
          </w:tcPr>
          <w:p w14:paraId="32CF97E3" w14:textId="7BE27E9D" w:rsidR="00DF0D2A" w:rsidRDefault="00B1159F" w:rsidP="005E5853">
            <w:pPr>
              <w:jc w:val="center"/>
            </w:pPr>
            <w:r>
              <w:t>X</w:t>
            </w:r>
          </w:p>
        </w:tc>
        <w:tc>
          <w:tcPr>
            <w:tcW w:w="1825" w:type="dxa"/>
            <w:vAlign w:val="center"/>
          </w:tcPr>
          <w:p w14:paraId="6102BD20" w14:textId="615BD0E8" w:rsidR="00DF0D2A" w:rsidRDefault="00DF0D2A" w:rsidP="005E5853">
            <w:pPr>
              <w:jc w:val="center"/>
            </w:pPr>
            <w:r>
              <w:t>X</w:t>
            </w:r>
          </w:p>
        </w:tc>
      </w:tr>
      <w:tr w:rsidR="00DF0D2A" w14:paraId="5A5A1E71" w14:textId="77777777" w:rsidTr="005E5853">
        <w:trPr>
          <w:trHeight w:val="275"/>
        </w:trPr>
        <w:tc>
          <w:tcPr>
            <w:tcW w:w="3974" w:type="dxa"/>
          </w:tcPr>
          <w:p w14:paraId="42FFB98A" w14:textId="77777777" w:rsidR="00DF0D2A" w:rsidRDefault="00DF0D2A" w:rsidP="005E5853">
            <w:r>
              <w:t>Youth or Student Groups</w:t>
            </w:r>
          </w:p>
        </w:tc>
        <w:tc>
          <w:tcPr>
            <w:tcW w:w="1825" w:type="dxa"/>
            <w:vAlign w:val="center"/>
          </w:tcPr>
          <w:p w14:paraId="677DC476" w14:textId="3B203C28" w:rsidR="00DF0D2A" w:rsidRDefault="00B1159F" w:rsidP="005E5853">
            <w:pPr>
              <w:jc w:val="center"/>
            </w:pPr>
            <w:r>
              <w:t>X</w:t>
            </w:r>
          </w:p>
        </w:tc>
        <w:tc>
          <w:tcPr>
            <w:tcW w:w="1825" w:type="dxa"/>
            <w:vAlign w:val="center"/>
          </w:tcPr>
          <w:p w14:paraId="5EE6E132" w14:textId="1A6A3B9C" w:rsidR="00DF0D2A" w:rsidRDefault="00DF0D2A" w:rsidP="005E5853">
            <w:pPr>
              <w:jc w:val="center"/>
            </w:pPr>
            <w:r>
              <w:t>X</w:t>
            </w:r>
          </w:p>
        </w:tc>
      </w:tr>
      <w:tr w:rsidR="00DF0D2A" w14:paraId="1E1CDC03" w14:textId="77777777" w:rsidTr="005E5853">
        <w:trPr>
          <w:trHeight w:val="259"/>
        </w:trPr>
        <w:tc>
          <w:tcPr>
            <w:tcW w:w="3974" w:type="dxa"/>
          </w:tcPr>
          <w:p w14:paraId="4E4EC8BD" w14:textId="77777777" w:rsidR="00DF0D2A" w:rsidRDefault="00DF0D2A" w:rsidP="005E5853">
            <w:r>
              <w:t>Youth Serving Organizations</w:t>
            </w:r>
          </w:p>
        </w:tc>
        <w:tc>
          <w:tcPr>
            <w:tcW w:w="1825" w:type="dxa"/>
            <w:vAlign w:val="center"/>
          </w:tcPr>
          <w:p w14:paraId="3F77E5E2" w14:textId="5EB08C64" w:rsidR="00DF0D2A" w:rsidRDefault="00B1159F" w:rsidP="005E5853">
            <w:pPr>
              <w:jc w:val="center"/>
            </w:pPr>
            <w:r>
              <w:t>X</w:t>
            </w:r>
          </w:p>
        </w:tc>
        <w:tc>
          <w:tcPr>
            <w:tcW w:w="1825" w:type="dxa"/>
            <w:vAlign w:val="center"/>
          </w:tcPr>
          <w:p w14:paraId="75BAE62A" w14:textId="787D95A7" w:rsidR="00DF0D2A" w:rsidRDefault="00DF0D2A" w:rsidP="005E5853">
            <w:pPr>
              <w:jc w:val="center"/>
            </w:pPr>
            <w:r>
              <w:t>X</w:t>
            </w:r>
          </w:p>
        </w:tc>
      </w:tr>
      <w:tr w:rsidR="00DF0D2A" w14:paraId="2FC93CDC" w14:textId="77777777" w:rsidTr="005E5853">
        <w:trPr>
          <w:trHeight w:val="259"/>
        </w:trPr>
        <w:tc>
          <w:tcPr>
            <w:tcW w:w="3974" w:type="dxa"/>
          </w:tcPr>
          <w:p w14:paraId="54311137" w14:textId="77777777" w:rsidR="00DF0D2A" w:rsidRDefault="00DF0D2A" w:rsidP="005E5853">
            <w:r>
              <w:t>Liquor Control Commission</w:t>
            </w:r>
          </w:p>
        </w:tc>
        <w:tc>
          <w:tcPr>
            <w:tcW w:w="1825" w:type="dxa"/>
            <w:vAlign w:val="center"/>
          </w:tcPr>
          <w:p w14:paraId="796E58AC" w14:textId="77777777" w:rsidR="00DF0D2A" w:rsidRDefault="00DF0D2A" w:rsidP="005E5853">
            <w:pPr>
              <w:jc w:val="center"/>
            </w:pPr>
          </w:p>
        </w:tc>
        <w:tc>
          <w:tcPr>
            <w:tcW w:w="1825" w:type="dxa"/>
            <w:vAlign w:val="center"/>
          </w:tcPr>
          <w:p w14:paraId="194CBBB1" w14:textId="77777777" w:rsidR="00DF0D2A" w:rsidRDefault="00DF0D2A" w:rsidP="005E5853">
            <w:pPr>
              <w:jc w:val="center"/>
            </w:pPr>
          </w:p>
        </w:tc>
      </w:tr>
      <w:tr w:rsidR="00DF0D2A" w14:paraId="27B8210E" w14:textId="77777777" w:rsidTr="005E5853">
        <w:trPr>
          <w:trHeight w:val="259"/>
        </w:trPr>
        <w:tc>
          <w:tcPr>
            <w:tcW w:w="3974" w:type="dxa"/>
          </w:tcPr>
          <w:p w14:paraId="5630894E" w14:textId="77777777" w:rsidR="00DF0D2A" w:rsidRPr="008B0D14" w:rsidRDefault="00DF0D2A" w:rsidP="005E5853">
            <w:pPr>
              <w:jc w:val="center"/>
              <w:rPr>
                <w:b/>
              </w:rPr>
            </w:pPr>
            <w:r w:rsidRPr="008B0D14">
              <w:rPr>
                <w:b/>
              </w:rPr>
              <w:t>Total Sectors Represented</w:t>
            </w:r>
          </w:p>
        </w:tc>
        <w:tc>
          <w:tcPr>
            <w:tcW w:w="1825" w:type="dxa"/>
            <w:vAlign w:val="center"/>
          </w:tcPr>
          <w:p w14:paraId="1F1056D2" w14:textId="3DBC6174" w:rsidR="00DF0D2A" w:rsidRPr="008B0D14" w:rsidRDefault="00B1159F" w:rsidP="005E5853">
            <w:pPr>
              <w:jc w:val="center"/>
              <w:rPr>
                <w:b/>
              </w:rPr>
            </w:pPr>
            <w:r>
              <w:rPr>
                <w:b/>
              </w:rPr>
              <w:t>12</w:t>
            </w:r>
          </w:p>
        </w:tc>
        <w:tc>
          <w:tcPr>
            <w:tcW w:w="1825" w:type="dxa"/>
            <w:vAlign w:val="center"/>
          </w:tcPr>
          <w:p w14:paraId="50DF75D4" w14:textId="177DBEC8" w:rsidR="00DF0D2A" w:rsidRPr="008B0D14" w:rsidRDefault="00DF0D2A" w:rsidP="005E5853">
            <w:pPr>
              <w:jc w:val="center"/>
              <w:rPr>
                <w:b/>
              </w:rPr>
            </w:pPr>
            <w:r>
              <w:rPr>
                <w:b/>
              </w:rPr>
              <w:t>12</w:t>
            </w:r>
          </w:p>
        </w:tc>
      </w:tr>
    </w:tbl>
    <w:p w14:paraId="4B5024C6" w14:textId="77777777" w:rsidR="00DF0D2A" w:rsidRDefault="00DF0D2A" w:rsidP="00B4238C">
      <w:pPr>
        <w:pStyle w:val="Heading2"/>
      </w:pPr>
    </w:p>
    <w:p w14:paraId="17C6F633" w14:textId="0DD8A575" w:rsidR="00B4238C" w:rsidRDefault="00B4238C" w:rsidP="00B4238C">
      <w:pPr>
        <w:pStyle w:val="Heading2"/>
      </w:pPr>
      <w:bookmarkStart w:id="15" w:name="_Toc45026650"/>
      <w:r>
        <w:t>Oak Park Township</w:t>
      </w:r>
      <w:bookmarkEnd w:id="15"/>
    </w:p>
    <w:p w14:paraId="01A06013" w14:textId="7E2D3E4C" w:rsidR="00DF0D2A" w:rsidRPr="00DF0D2A" w:rsidRDefault="00DF0D2A" w:rsidP="00DF0D2A">
      <w:r>
        <w:t xml:space="preserve">The Oak Park Township coalition is named the Oak Park-River Forest Workgroup for Positive Youth Development. </w:t>
      </w:r>
      <w:r w:rsidRPr="008639D8">
        <w:t>T</w:t>
      </w:r>
      <w:r>
        <w:t xml:space="preserve">his coalition </w:t>
      </w:r>
      <w:r w:rsidR="00B1159F">
        <w:t>met 4 times in 2019 and had 1 subcommittee meeting</w:t>
      </w:r>
      <w:r>
        <w:t>. In 2020, there were 5 coalition meetings and 10 subcommittee meetings. Below is the coalition sector representation.</w:t>
      </w:r>
    </w:p>
    <w:tbl>
      <w:tblPr>
        <w:tblStyle w:val="TableGrid"/>
        <w:tblW w:w="7624" w:type="dxa"/>
        <w:tblInd w:w="0" w:type="dxa"/>
        <w:tblLook w:val="04A0" w:firstRow="1" w:lastRow="0" w:firstColumn="1" w:lastColumn="0" w:noHBand="0" w:noVBand="1"/>
      </w:tblPr>
      <w:tblGrid>
        <w:gridCol w:w="3974"/>
        <w:gridCol w:w="1825"/>
        <w:gridCol w:w="1825"/>
      </w:tblGrid>
      <w:tr w:rsidR="00DF0D2A" w14:paraId="2C6299E5" w14:textId="77777777" w:rsidTr="005E5853">
        <w:trPr>
          <w:trHeight w:val="275"/>
        </w:trPr>
        <w:tc>
          <w:tcPr>
            <w:tcW w:w="3974" w:type="dxa"/>
          </w:tcPr>
          <w:p w14:paraId="3E35C5B4" w14:textId="77777777" w:rsidR="00DF0D2A" w:rsidRPr="00AA493D" w:rsidRDefault="00DF0D2A" w:rsidP="005E5853">
            <w:pPr>
              <w:jc w:val="center"/>
              <w:rPr>
                <w:b/>
              </w:rPr>
            </w:pPr>
            <w:r w:rsidRPr="00AA493D">
              <w:rPr>
                <w:b/>
              </w:rPr>
              <w:t>Sectors</w:t>
            </w:r>
          </w:p>
        </w:tc>
        <w:tc>
          <w:tcPr>
            <w:tcW w:w="1825" w:type="dxa"/>
          </w:tcPr>
          <w:p w14:paraId="2FEE529F" w14:textId="77777777" w:rsidR="00DF0D2A" w:rsidRPr="00AA493D" w:rsidRDefault="00DF0D2A" w:rsidP="005E5853">
            <w:pPr>
              <w:jc w:val="center"/>
              <w:rPr>
                <w:b/>
              </w:rPr>
            </w:pPr>
            <w:r w:rsidRPr="00AA493D">
              <w:rPr>
                <w:b/>
              </w:rPr>
              <w:t>FY201</w:t>
            </w:r>
            <w:r>
              <w:rPr>
                <w:b/>
              </w:rPr>
              <w:t>9</w:t>
            </w:r>
          </w:p>
        </w:tc>
        <w:tc>
          <w:tcPr>
            <w:tcW w:w="1825" w:type="dxa"/>
          </w:tcPr>
          <w:p w14:paraId="64E47B7F" w14:textId="77777777" w:rsidR="00DF0D2A" w:rsidRPr="00AA493D" w:rsidRDefault="00DF0D2A" w:rsidP="005E5853">
            <w:pPr>
              <w:jc w:val="center"/>
              <w:rPr>
                <w:b/>
              </w:rPr>
            </w:pPr>
            <w:r w:rsidRPr="00AA493D">
              <w:rPr>
                <w:b/>
              </w:rPr>
              <w:t>FY20</w:t>
            </w:r>
            <w:r>
              <w:rPr>
                <w:b/>
              </w:rPr>
              <w:t>20</w:t>
            </w:r>
          </w:p>
        </w:tc>
      </w:tr>
      <w:tr w:rsidR="00DF0D2A" w14:paraId="26255DB6" w14:textId="77777777" w:rsidTr="005E5853">
        <w:trPr>
          <w:trHeight w:val="259"/>
        </w:trPr>
        <w:tc>
          <w:tcPr>
            <w:tcW w:w="3974" w:type="dxa"/>
          </w:tcPr>
          <w:p w14:paraId="5DB6A91A" w14:textId="77777777" w:rsidR="00DF0D2A" w:rsidRDefault="00DF0D2A" w:rsidP="005E5853">
            <w:r>
              <w:t>Business Community</w:t>
            </w:r>
          </w:p>
        </w:tc>
        <w:tc>
          <w:tcPr>
            <w:tcW w:w="1825" w:type="dxa"/>
            <w:vAlign w:val="center"/>
          </w:tcPr>
          <w:p w14:paraId="43822C27" w14:textId="28BBE3BF" w:rsidR="00DF0D2A" w:rsidRDefault="00B1159F" w:rsidP="005E5853">
            <w:pPr>
              <w:jc w:val="center"/>
            </w:pPr>
            <w:r>
              <w:t>X</w:t>
            </w:r>
          </w:p>
        </w:tc>
        <w:tc>
          <w:tcPr>
            <w:tcW w:w="1825" w:type="dxa"/>
            <w:vAlign w:val="center"/>
          </w:tcPr>
          <w:p w14:paraId="73E4A89C" w14:textId="74373BAE" w:rsidR="00DF0D2A" w:rsidRDefault="00DF0D2A" w:rsidP="005E5853">
            <w:pPr>
              <w:jc w:val="center"/>
            </w:pPr>
            <w:r>
              <w:t>X</w:t>
            </w:r>
          </w:p>
        </w:tc>
      </w:tr>
      <w:tr w:rsidR="00DF0D2A" w14:paraId="090C6B01" w14:textId="77777777" w:rsidTr="005E5853">
        <w:trPr>
          <w:trHeight w:val="275"/>
        </w:trPr>
        <w:tc>
          <w:tcPr>
            <w:tcW w:w="3974" w:type="dxa"/>
          </w:tcPr>
          <w:p w14:paraId="0288DE78" w14:textId="77777777" w:rsidR="00DF0D2A" w:rsidRDefault="00DF0D2A" w:rsidP="005E5853">
            <w:r>
              <w:t>Civic or Volunteer Organizations</w:t>
            </w:r>
          </w:p>
        </w:tc>
        <w:tc>
          <w:tcPr>
            <w:tcW w:w="1825" w:type="dxa"/>
            <w:vAlign w:val="center"/>
          </w:tcPr>
          <w:p w14:paraId="57CB62C8" w14:textId="4B1CCCDC" w:rsidR="00DF0D2A" w:rsidRDefault="00B1159F" w:rsidP="005E5853">
            <w:pPr>
              <w:jc w:val="center"/>
            </w:pPr>
            <w:r>
              <w:t>X</w:t>
            </w:r>
          </w:p>
        </w:tc>
        <w:tc>
          <w:tcPr>
            <w:tcW w:w="1825" w:type="dxa"/>
            <w:vAlign w:val="center"/>
          </w:tcPr>
          <w:p w14:paraId="30996D8C" w14:textId="05F9821E" w:rsidR="00DF0D2A" w:rsidRDefault="00DF0D2A" w:rsidP="005E5853">
            <w:pPr>
              <w:jc w:val="center"/>
            </w:pPr>
            <w:r>
              <w:t>X</w:t>
            </w:r>
          </w:p>
        </w:tc>
      </w:tr>
      <w:tr w:rsidR="00DF0D2A" w14:paraId="6CDE998C" w14:textId="77777777" w:rsidTr="005E5853">
        <w:trPr>
          <w:trHeight w:val="259"/>
        </w:trPr>
        <w:tc>
          <w:tcPr>
            <w:tcW w:w="3974" w:type="dxa"/>
          </w:tcPr>
          <w:p w14:paraId="3C71C25B" w14:textId="77777777" w:rsidR="00DF0D2A" w:rsidRDefault="00DF0D2A" w:rsidP="005E5853">
            <w:r>
              <w:t>Faith-Based Organizations</w:t>
            </w:r>
          </w:p>
        </w:tc>
        <w:tc>
          <w:tcPr>
            <w:tcW w:w="1825" w:type="dxa"/>
            <w:vAlign w:val="center"/>
          </w:tcPr>
          <w:p w14:paraId="7339F15A" w14:textId="2AEBEFC9" w:rsidR="00DF0D2A" w:rsidRDefault="00B1159F" w:rsidP="005E5853">
            <w:pPr>
              <w:jc w:val="center"/>
            </w:pPr>
            <w:r>
              <w:t>X</w:t>
            </w:r>
          </w:p>
        </w:tc>
        <w:tc>
          <w:tcPr>
            <w:tcW w:w="1825" w:type="dxa"/>
            <w:vAlign w:val="center"/>
          </w:tcPr>
          <w:p w14:paraId="10ECF0CD" w14:textId="77777777" w:rsidR="00DF0D2A" w:rsidRDefault="00DF0D2A" w:rsidP="005E5853">
            <w:pPr>
              <w:jc w:val="center"/>
            </w:pPr>
          </w:p>
        </w:tc>
      </w:tr>
      <w:tr w:rsidR="00DF0D2A" w14:paraId="5B224D35" w14:textId="77777777" w:rsidTr="005E5853">
        <w:trPr>
          <w:trHeight w:val="275"/>
        </w:trPr>
        <w:tc>
          <w:tcPr>
            <w:tcW w:w="3974" w:type="dxa"/>
          </w:tcPr>
          <w:p w14:paraId="32B58F17" w14:textId="77777777" w:rsidR="00DF0D2A" w:rsidRDefault="00DF0D2A" w:rsidP="005E5853">
            <w:r>
              <w:t>Healthcare Professionals/Agencies</w:t>
            </w:r>
          </w:p>
        </w:tc>
        <w:tc>
          <w:tcPr>
            <w:tcW w:w="1825" w:type="dxa"/>
            <w:vAlign w:val="center"/>
          </w:tcPr>
          <w:p w14:paraId="7A3F2950" w14:textId="385AC005" w:rsidR="00DF0D2A" w:rsidRDefault="00B1159F" w:rsidP="005E5853">
            <w:pPr>
              <w:jc w:val="center"/>
            </w:pPr>
            <w:r>
              <w:t>X</w:t>
            </w:r>
          </w:p>
        </w:tc>
        <w:tc>
          <w:tcPr>
            <w:tcW w:w="1825" w:type="dxa"/>
            <w:vAlign w:val="center"/>
          </w:tcPr>
          <w:p w14:paraId="6420D899" w14:textId="50016EC5" w:rsidR="00DF0D2A" w:rsidRDefault="00DF0D2A" w:rsidP="005E5853">
            <w:pPr>
              <w:jc w:val="center"/>
            </w:pPr>
            <w:r>
              <w:t>X</w:t>
            </w:r>
          </w:p>
        </w:tc>
      </w:tr>
      <w:tr w:rsidR="00DF0D2A" w14:paraId="55E955C4" w14:textId="77777777" w:rsidTr="005E5853">
        <w:trPr>
          <w:trHeight w:val="259"/>
        </w:trPr>
        <w:tc>
          <w:tcPr>
            <w:tcW w:w="3974" w:type="dxa"/>
          </w:tcPr>
          <w:p w14:paraId="4DF8CC1C" w14:textId="77777777" w:rsidR="00DF0D2A" w:rsidRDefault="00DF0D2A" w:rsidP="005E5853">
            <w:r>
              <w:t>Law Enforcement Agencies</w:t>
            </w:r>
          </w:p>
        </w:tc>
        <w:tc>
          <w:tcPr>
            <w:tcW w:w="1825" w:type="dxa"/>
            <w:vAlign w:val="center"/>
          </w:tcPr>
          <w:p w14:paraId="5CBB308D" w14:textId="0C855D08" w:rsidR="00DF0D2A" w:rsidRDefault="00B1159F" w:rsidP="005E5853">
            <w:pPr>
              <w:jc w:val="center"/>
            </w:pPr>
            <w:r>
              <w:t>X</w:t>
            </w:r>
          </w:p>
        </w:tc>
        <w:tc>
          <w:tcPr>
            <w:tcW w:w="1825" w:type="dxa"/>
            <w:vAlign w:val="center"/>
          </w:tcPr>
          <w:p w14:paraId="14427E06" w14:textId="62036C68" w:rsidR="00DF0D2A" w:rsidRDefault="00DF0D2A" w:rsidP="005E5853">
            <w:pPr>
              <w:jc w:val="center"/>
            </w:pPr>
            <w:r>
              <w:t>X</w:t>
            </w:r>
          </w:p>
        </w:tc>
      </w:tr>
      <w:tr w:rsidR="00DF0D2A" w14:paraId="476BD204" w14:textId="77777777" w:rsidTr="005E5853">
        <w:trPr>
          <w:trHeight w:val="259"/>
        </w:trPr>
        <w:tc>
          <w:tcPr>
            <w:tcW w:w="3974" w:type="dxa"/>
          </w:tcPr>
          <w:p w14:paraId="738C12C5" w14:textId="77777777" w:rsidR="00DF0D2A" w:rsidRDefault="00DF0D2A" w:rsidP="005E5853">
            <w:r>
              <w:t>Local or State Government Agencies</w:t>
            </w:r>
          </w:p>
        </w:tc>
        <w:tc>
          <w:tcPr>
            <w:tcW w:w="1825" w:type="dxa"/>
            <w:vAlign w:val="center"/>
          </w:tcPr>
          <w:p w14:paraId="5FB91636" w14:textId="734EADE1" w:rsidR="00DF0D2A" w:rsidRDefault="00B1159F" w:rsidP="005E5853">
            <w:pPr>
              <w:jc w:val="center"/>
            </w:pPr>
            <w:r>
              <w:t>X</w:t>
            </w:r>
          </w:p>
        </w:tc>
        <w:tc>
          <w:tcPr>
            <w:tcW w:w="1825" w:type="dxa"/>
            <w:vAlign w:val="center"/>
          </w:tcPr>
          <w:p w14:paraId="5A95FF31" w14:textId="3862C0C0" w:rsidR="00DF0D2A" w:rsidRDefault="00DF0D2A" w:rsidP="005E5853">
            <w:pPr>
              <w:jc w:val="center"/>
            </w:pPr>
            <w:r>
              <w:t>X</w:t>
            </w:r>
          </w:p>
        </w:tc>
      </w:tr>
      <w:tr w:rsidR="00DF0D2A" w14:paraId="306D72AD" w14:textId="77777777" w:rsidTr="005E5853">
        <w:trPr>
          <w:trHeight w:val="259"/>
        </w:trPr>
        <w:tc>
          <w:tcPr>
            <w:tcW w:w="3974" w:type="dxa"/>
          </w:tcPr>
          <w:p w14:paraId="0E64CDC8" w14:textId="77777777" w:rsidR="00DF0D2A" w:rsidRDefault="00DF0D2A" w:rsidP="005E5853">
            <w:r>
              <w:t>Media</w:t>
            </w:r>
          </w:p>
        </w:tc>
        <w:tc>
          <w:tcPr>
            <w:tcW w:w="1825" w:type="dxa"/>
            <w:vAlign w:val="center"/>
          </w:tcPr>
          <w:p w14:paraId="4C371B77" w14:textId="2C7196DD" w:rsidR="00DF0D2A" w:rsidRDefault="00B1159F" w:rsidP="005E5853">
            <w:pPr>
              <w:jc w:val="center"/>
            </w:pPr>
            <w:r>
              <w:t>X</w:t>
            </w:r>
          </w:p>
        </w:tc>
        <w:tc>
          <w:tcPr>
            <w:tcW w:w="1825" w:type="dxa"/>
            <w:vAlign w:val="center"/>
          </w:tcPr>
          <w:p w14:paraId="79258BB4" w14:textId="3F895FF7" w:rsidR="00DF0D2A" w:rsidRDefault="00DF0D2A" w:rsidP="005E5853">
            <w:pPr>
              <w:jc w:val="center"/>
            </w:pPr>
            <w:r>
              <w:t>X</w:t>
            </w:r>
          </w:p>
        </w:tc>
      </w:tr>
      <w:tr w:rsidR="00DF0D2A" w14:paraId="489C3462" w14:textId="77777777" w:rsidTr="005E5853">
        <w:trPr>
          <w:trHeight w:val="275"/>
        </w:trPr>
        <w:tc>
          <w:tcPr>
            <w:tcW w:w="3974" w:type="dxa"/>
          </w:tcPr>
          <w:p w14:paraId="71D51B1B" w14:textId="77777777" w:rsidR="00DF0D2A" w:rsidRDefault="00DF0D2A" w:rsidP="005E5853">
            <w:r>
              <w:t>Other Groups/Organizations</w:t>
            </w:r>
          </w:p>
        </w:tc>
        <w:tc>
          <w:tcPr>
            <w:tcW w:w="1825" w:type="dxa"/>
            <w:vAlign w:val="center"/>
          </w:tcPr>
          <w:p w14:paraId="177DC6DC" w14:textId="1CB55529" w:rsidR="00DF0D2A" w:rsidRDefault="00B1159F" w:rsidP="005E5853">
            <w:pPr>
              <w:jc w:val="center"/>
            </w:pPr>
            <w:r>
              <w:t>X</w:t>
            </w:r>
          </w:p>
        </w:tc>
        <w:tc>
          <w:tcPr>
            <w:tcW w:w="1825" w:type="dxa"/>
            <w:vAlign w:val="center"/>
          </w:tcPr>
          <w:p w14:paraId="4F4296B3" w14:textId="143354E2" w:rsidR="00DF0D2A" w:rsidRDefault="00DF0D2A" w:rsidP="005E5853">
            <w:pPr>
              <w:jc w:val="center"/>
            </w:pPr>
            <w:r>
              <w:t>X</w:t>
            </w:r>
          </w:p>
        </w:tc>
      </w:tr>
      <w:tr w:rsidR="00DF0D2A" w14:paraId="219D77CE" w14:textId="77777777" w:rsidTr="005E5853">
        <w:trPr>
          <w:trHeight w:val="275"/>
        </w:trPr>
        <w:tc>
          <w:tcPr>
            <w:tcW w:w="3974" w:type="dxa"/>
          </w:tcPr>
          <w:p w14:paraId="2B9267E6" w14:textId="77777777" w:rsidR="00DF0D2A" w:rsidRDefault="00DF0D2A" w:rsidP="005E5853">
            <w:r>
              <w:t>Parent/Family/Caregivers</w:t>
            </w:r>
          </w:p>
        </w:tc>
        <w:tc>
          <w:tcPr>
            <w:tcW w:w="1825" w:type="dxa"/>
            <w:vAlign w:val="center"/>
          </w:tcPr>
          <w:p w14:paraId="2AA8A34B" w14:textId="77777777" w:rsidR="00DF0D2A" w:rsidRDefault="00DF0D2A" w:rsidP="005E5853">
            <w:pPr>
              <w:jc w:val="center"/>
            </w:pPr>
          </w:p>
        </w:tc>
        <w:tc>
          <w:tcPr>
            <w:tcW w:w="1825" w:type="dxa"/>
            <w:vAlign w:val="center"/>
          </w:tcPr>
          <w:p w14:paraId="228D4BB1" w14:textId="104C26E4" w:rsidR="00DF0D2A" w:rsidRDefault="00DF0D2A" w:rsidP="005E5853">
            <w:pPr>
              <w:jc w:val="center"/>
            </w:pPr>
            <w:r>
              <w:t>X</w:t>
            </w:r>
          </w:p>
        </w:tc>
      </w:tr>
      <w:tr w:rsidR="00DF0D2A" w14:paraId="3BB10A5E" w14:textId="77777777" w:rsidTr="005E5853">
        <w:trPr>
          <w:trHeight w:val="259"/>
        </w:trPr>
        <w:tc>
          <w:tcPr>
            <w:tcW w:w="3974" w:type="dxa"/>
          </w:tcPr>
          <w:p w14:paraId="3109DDA6" w14:textId="77777777" w:rsidR="00DF0D2A" w:rsidRDefault="00DF0D2A" w:rsidP="005E5853">
            <w:r>
              <w:t>Schools or School Districts</w:t>
            </w:r>
          </w:p>
        </w:tc>
        <w:tc>
          <w:tcPr>
            <w:tcW w:w="1825" w:type="dxa"/>
            <w:vAlign w:val="center"/>
          </w:tcPr>
          <w:p w14:paraId="6288EB8A" w14:textId="7390B433" w:rsidR="00DF0D2A" w:rsidRDefault="00B1159F" w:rsidP="005E5853">
            <w:pPr>
              <w:jc w:val="center"/>
            </w:pPr>
            <w:r>
              <w:t>X</w:t>
            </w:r>
          </w:p>
        </w:tc>
        <w:tc>
          <w:tcPr>
            <w:tcW w:w="1825" w:type="dxa"/>
            <w:vAlign w:val="center"/>
          </w:tcPr>
          <w:p w14:paraId="39C0FCDA" w14:textId="547CA290" w:rsidR="00DF0D2A" w:rsidRDefault="00DF0D2A" w:rsidP="005E5853">
            <w:pPr>
              <w:jc w:val="center"/>
            </w:pPr>
            <w:r>
              <w:t>X</w:t>
            </w:r>
          </w:p>
        </w:tc>
      </w:tr>
      <w:tr w:rsidR="00DF0D2A" w14:paraId="4972F648" w14:textId="77777777" w:rsidTr="005E5853">
        <w:trPr>
          <w:trHeight w:val="275"/>
        </w:trPr>
        <w:tc>
          <w:tcPr>
            <w:tcW w:w="3974" w:type="dxa"/>
          </w:tcPr>
          <w:p w14:paraId="11E78374" w14:textId="77777777" w:rsidR="00DF0D2A" w:rsidRDefault="00DF0D2A" w:rsidP="005E5853">
            <w:r>
              <w:t>Youth or Student Groups</w:t>
            </w:r>
          </w:p>
        </w:tc>
        <w:tc>
          <w:tcPr>
            <w:tcW w:w="1825" w:type="dxa"/>
            <w:vAlign w:val="center"/>
          </w:tcPr>
          <w:p w14:paraId="79AAC1AB" w14:textId="77777777" w:rsidR="00DF0D2A" w:rsidRDefault="00DF0D2A" w:rsidP="005E5853">
            <w:pPr>
              <w:jc w:val="center"/>
            </w:pPr>
          </w:p>
        </w:tc>
        <w:tc>
          <w:tcPr>
            <w:tcW w:w="1825" w:type="dxa"/>
            <w:vAlign w:val="center"/>
          </w:tcPr>
          <w:p w14:paraId="26D4B6BB" w14:textId="4C754ED2" w:rsidR="00DF0D2A" w:rsidRDefault="00DF0D2A" w:rsidP="005E5853">
            <w:pPr>
              <w:jc w:val="center"/>
            </w:pPr>
            <w:r>
              <w:t>X</w:t>
            </w:r>
          </w:p>
        </w:tc>
      </w:tr>
      <w:tr w:rsidR="00DF0D2A" w14:paraId="703C0672" w14:textId="77777777" w:rsidTr="005E5853">
        <w:trPr>
          <w:trHeight w:val="259"/>
        </w:trPr>
        <w:tc>
          <w:tcPr>
            <w:tcW w:w="3974" w:type="dxa"/>
          </w:tcPr>
          <w:p w14:paraId="5A5EF388" w14:textId="77777777" w:rsidR="00DF0D2A" w:rsidRDefault="00DF0D2A" w:rsidP="005E5853">
            <w:r>
              <w:t>Youth Serving Organizations</w:t>
            </w:r>
          </w:p>
        </w:tc>
        <w:tc>
          <w:tcPr>
            <w:tcW w:w="1825" w:type="dxa"/>
            <w:vAlign w:val="center"/>
          </w:tcPr>
          <w:p w14:paraId="07B19E46" w14:textId="115DEC1C" w:rsidR="00DF0D2A" w:rsidRDefault="00B1159F" w:rsidP="005E5853">
            <w:pPr>
              <w:jc w:val="center"/>
            </w:pPr>
            <w:r>
              <w:t>X</w:t>
            </w:r>
          </w:p>
        </w:tc>
        <w:tc>
          <w:tcPr>
            <w:tcW w:w="1825" w:type="dxa"/>
            <w:vAlign w:val="center"/>
          </w:tcPr>
          <w:p w14:paraId="44118C31" w14:textId="4B5DA654" w:rsidR="00DF0D2A" w:rsidRDefault="00DF0D2A" w:rsidP="005E5853">
            <w:pPr>
              <w:jc w:val="center"/>
            </w:pPr>
            <w:r>
              <w:t>X</w:t>
            </w:r>
          </w:p>
        </w:tc>
      </w:tr>
      <w:tr w:rsidR="00DF0D2A" w14:paraId="31947DF3" w14:textId="77777777" w:rsidTr="005E5853">
        <w:trPr>
          <w:trHeight w:val="259"/>
        </w:trPr>
        <w:tc>
          <w:tcPr>
            <w:tcW w:w="3974" w:type="dxa"/>
          </w:tcPr>
          <w:p w14:paraId="49D02AAA" w14:textId="77777777" w:rsidR="00DF0D2A" w:rsidRDefault="00DF0D2A" w:rsidP="005E5853">
            <w:r>
              <w:t>Liquor Control Commission</w:t>
            </w:r>
          </w:p>
        </w:tc>
        <w:tc>
          <w:tcPr>
            <w:tcW w:w="1825" w:type="dxa"/>
            <w:vAlign w:val="center"/>
          </w:tcPr>
          <w:p w14:paraId="5201A149" w14:textId="77777777" w:rsidR="00DF0D2A" w:rsidRDefault="00DF0D2A" w:rsidP="005E5853">
            <w:pPr>
              <w:jc w:val="center"/>
            </w:pPr>
          </w:p>
        </w:tc>
        <w:tc>
          <w:tcPr>
            <w:tcW w:w="1825" w:type="dxa"/>
            <w:vAlign w:val="center"/>
          </w:tcPr>
          <w:p w14:paraId="23954C15" w14:textId="6682FE68" w:rsidR="00DF0D2A" w:rsidRDefault="00DF0D2A" w:rsidP="005E5853">
            <w:pPr>
              <w:jc w:val="center"/>
            </w:pPr>
          </w:p>
        </w:tc>
      </w:tr>
      <w:tr w:rsidR="00DF0D2A" w14:paraId="1CA90C49" w14:textId="77777777" w:rsidTr="005E5853">
        <w:trPr>
          <w:trHeight w:val="259"/>
        </w:trPr>
        <w:tc>
          <w:tcPr>
            <w:tcW w:w="3974" w:type="dxa"/>
          </w:tcPr>
          <w:p w14:paraId="28B08F39" w14:textId="77777777" w:rsidR="00DF0D2A" w:rsidRPr="008B0D14" w:rsidRDefault="00DF0D2A" w:rsidP="005E5853">
            <w:pPr>
              <w:jc w:val="center"/>
              <w:rPr>
                <w:b/>
              </w:rPr>
            </w:pPr>
            <w:r w:rsidRPr="008B0D14">
              <w:rPr>
                <w:b/>
              </w:rPr>
              <w:t>Total Sectors Represented</w:t>
            </w:r>
          </w:p>
        </w:tc>
        <w:tc>
          <w:tcPr>
            <w:tcW w:w="1825" w:type="dxa"/>
            <w:vAlign w:val="center"/>
          </w:tcPr>
          <w:p w14:paraId="18733D2D" w14:textId="3FC79D9D" w:rsidR="00DF0D2A" w:rsidRPr="008B0D14" w:rsidRDefault="00B1159F" w:rsidP="005E5853">
            <w:pPr>
              <w:jc w:val="center"/>
              <w:rPr>
                <w:b/>
              </w:rPr>
            </w:pPr>
            <w:r>
              <w:rPr>
                <w:b/>
              </w:rPr>
              <w:t>10</w:t>
            </w:r>
          </w:p>
        </w:tc>
        <w:tc>
          <w:tcPr>
            <w:tcW w:w="1825" w:type="dxa"/>
            <w:vAlign w:val="center"/>
          </w:tcPr>
          <w:p w14:paraId="17FE950F" w14:textId="63FBA7C8" w:rsidR="00DF0D2A" w:rsidRPr="008B0D14" w:rsidRDefault="00DF0D2A" w:rsidP="005E5853">
            <w:pPr>
              <w:jc w:val="center"/>
              <w:rPr>
                <w:b/>
              </w:rPr>
            </w:pPr>
            <w:r>
              <w:rPr>
                <w:b/>
              </w:rPr>
              <w:t>11</w:t>
            </w:r>
          </w:p>
        </w:tc>
      </w:tr>
    </w:tbl>
    <w:p w14:paraId="52A1158A" w14:textId="77777777" w:rsidR="00E427C1" w:rsidRDefault="00E427C1" w:rsidP="00DF0D2A"/>
    <w:p w14:paraId="141AD341" w14:textId="3DCC31E5" w:rsidR="00E427C1" w:rsidRDefault="00E427C1" w:rsidP="00E427C1">
      <w:pPr>
        <w:pStyle w:val="Heading2"/>
      </w:pPr>
      <w:bookmarkStart w:id="16" w:name="_Toc45026651"/>
      <w:r>
        <w:t>Overall Sector Representation</w:t>
      </w:r>
      <w:bookmarkEnd w:id="16"/>
      <w:r>
        <w:t xml:space="preserve"> </w:t>
      </w:r>
    </w:p>
    <w:p w14:paraId="6BAC045D" w14:textId="33F44A1E" w:rsidR="00E427C1" w:rsidRDefault="00E427C1" w:rsidP="00DF0D2A">
      <w:r>
        <w:t xml:space="preserve">All five remaining sub-recipients were able to maintain their sector representation. Two sub-recipients added a new sector as well. All coalitions met at least 4 times (once per quarter) and the subcommittees continued meeting throughout the final year of the project. As noted in the previous report, several sub-recipients reported that their coalitions would continue beyond the project, which is evident by their continued participation through this extension period. </w:t>
      </w:r>
    </w:p>
    <w:p w14:paraId="764B0BBE" w14:textId="77777777" w:rsidR="00E427C1" w:rsidRDefault="00E427C1" w:rsidP="00DF0D2A"/>
    <w:p w14:paraId="1E357A19" w14:textId="77777777" w:rsidR="00E427C1" w:rsidRDefault="00E427C1" w:rsidP="00DF0D2A"/>
    <w:p w14:paraId="1CAE75C0" w14:textId="77777777" w:rsidR="00E427C1" w:rsidRDefault="00E427C1" w:rsidP="00DF0D2A"/>
    <w:p w14:paraId="68ED134F" w14:textId="0499D5DF" w:rsidR="00C90FD0" w:rsidRDefault="00C90FD0" w:rsidP="00DF0D2A">
      <w:r>
        <w:br w:type="page"/>
      </w:r>
    </w:p>
    <w:p w14:paraId="49A11994" w14:textId="0CBD717E" w:rsidR="00A131B4" w:rsidRPr="002C27D8" w:rsidRDefault="00A131B4" w:rsidP="00A131B4">
      <w:pPr>
        <w:pStyle w:val="Heading1"/>
      </w:pPr>
      <w:bookmarkStart w:id="17" w:name="_Hlk44421007"/>
      <w:bookmarkStart w:id="18" w:name="_Toc45026652"/>
      <w:r>
        <w:lastRenderedPageBreak/>
        <w:t>Section V. Statewide Epidemiological Outcomes Workgroup</w:t>
      </w:r>
      <w:bookmarkEnd w:id="18"/>
    </w:p>
    <w:bookmarkEnd w:id="17"/>
    <w:p w14:paraId="21DABB15" w14:textId="355E6BF9" w:rsidR="00A131B4" w:rsidRDefault="00A131B4" w:rsidP="00A131B4">
      <w:pPr>
        <w:spacing w:after="0" w:line="240" w:lineRule="auto"/>
      </w:pPr>
      <w:r>
        <w:t xml:space="preserve">As supported under the SPF-PFS grant, the State Epidemiological Outcomes Workgroup </w:t>
      </w:r>
      <w:r w:rsidR="00C90FD0">
        <w:t xml:space="preserve">(SEOW) </w:t>
      </w:r>
      <w:r>
        <w:t>remained active with quarterly meetings over the life of this project. Under the leadership of the Center for Prevention Research and Development and with their administrative support during this time, membership was consistent or increased. Individual membership evolved but remained at a relatively consistent number of attendees with several key state agencies that have access to data resources relevant to SPF-PFS communities consistently represented over the life of the grant. As some members dropped off, new members were continuously added. As of 2020, the SEOW includes 18 members representing 9 different state agencies, bureaus</w:t>
      </w:r>
      <w:r w:rsidR="00C90FD0">
        <w:t>,</w:t>
      </w:r>
      <w:r>
        <w:t xml:space="preserve"> or divisions. </w:t>
      </w:r>
    </w:p>
    <w:p w14:paraId="6BCDC2A7" w14:textId="77777777" w:rsidR="00A131B4" w:rsidRDefault="00A131B4" w:rsidP="00A131B4">
      <w:pPr>
        <w:spacing w:after="0" w:line="240" w:lineRule="auto"/>
      </w:pPr>
    </w:p>
    <w:p w14:paraId="5F47D657" w14:textId="3895D466" w:rsidR="00A131B4" w:rsidRDefault="00A131B4" w:rsidP="00A131B4">
      <w:pPr>
        <w:spacing w:after="0" w:line="240" w:lineRule="auto"/>
      </w:pPr>
      <w:r>
        <w:t xml:space="preserve">At the project’s conclusion, the SEOW can be credited with several key initiatives and products including the </w:t>
      </w:r>
      <w:r w:rsidR="00C90FD0">
        <w:t>Prescription Drug</w:t>
      </w:r>
      <w:r>
        <w:t xml:space="preserve"> Epidemiological Profile which is a comprehensive report on </w:t>
      </w:r>
      <w:r w:rsidR="00C90FD0">
        <w:t>prescription drug</w:t>
      </w:r>
      <w:r>
        <w:t xml:space="preserve"> use and consequences data from multiple state and national sources and presented in a reader-friendly format. The SEOW supported development and ongoing maintenance of the SEOW </w:t>
      </w:r>
      <w:r w:rsidR="00C90FD0">
        <w:t>w</w:t>
      </w:r>
      <w:r>
        <w:t xml:space="preserve">ebsite, (seow.cprd.illinois.edu), a centralized resource for information and data from participating SEOW agencies. This provides a statewide prevention resource which has never previously existed. In addition, other SEOW deliverables included the new IYS data visualization using Tableau and several new lay-reader friendly “White Paper Reports” on youth alcohol, tobacco and marijuana use and one comparing youth use of all three. </w:t>
      </w:r>
    </w:p>
    <w:p w14:paraId="6303B24C" w14:textId="77777777" w:rsidR="00A131B4" w:rsidRDefault="00A131B4" w:rsidP="00A131B4">
      <w:pPr>
        <w:spacing w:after="0" w:line="240" w:lineRule="auto"/>
      </w:pPr>
    </w:p>
    <w:p w14:paraId="61F6ACE8" w14:textId="0CB95F9A" w:rsidR="00A131B4" w:rsidRDefault="00A131B4" w:rsidP="00A131B4">
      <w:pPr>
        <w:spacing w:after="0" w:line="240" w:lineRule="auto"/>
      </w:pPr>
      <w:r>
        <w:t>CPRD intends to sustain SEOW initiatives including meeting leadership and administration as well as SEOW website maintenance and updates. CPRD will also update the IYS Data Visualization and cre</w:t>
      </w:r>
      <w:r w:rsidR="00C90FD0">
        <w:t>a</w:t>
      </w:r>
      <w:r>
        <w:t xml:space="preserve">te new versions of </w:t>
      </w:r>
      <w:r w:rsidR="00C90FD0">
        <w:t>w</w:t>
      </w:r>
      <w:r>
        <w:t xml:space="preserve">hite </w:t>
      </w:r>
      <w:r w:rsidR="00C90FD0">
        <w:t>p</w:t>
      </w:r>
      <w:r>
        <w:t xml:space="preserve">aper </w:t>
      </w:r>
      <w:r w:rsidR="00C90FD0">
        <w:t>r</w:t>
      </w:r>
      <w:r>
        <w:t>eports with 2020 youth substance use data provided by the Illinois Youth Survey. In addition, DHS will maintain support for the SEOW through active participation of the Bureau Chief of the Bureau of Substance Use Prevention and Recovery as well as providing reservations for conference room and other communication resource availability and use.</w:t>
      </w:r>
    </w:p>
    <w:p w14:paraId="3E9559B5" w14:textId="029F4887" w:rsidR="00B73098" w:rsidRDefault="00B73098" w:rsidP="00A131B4">
      <w:pPr>
        <w:spacing w:after="0" w:line="240" w:lineRule="auto"/>
      </w:pPr>
    </w:p>
    <w:p w14:paraId="2752677D" w14:textId="77777777" w:rsidR="00422835" w:rsidRDefault="00422835">
      <w:pPr>
        <w:spacing w:line="259" w:lineRule="auto"/>
        <w:rPr>
          <w:rFonts w:ascii="Calibri" w:eastAsiaTheme="majorEastAsia" w:hAnsi="Calibri" w:cstheme="majorBidi"/>
          <w:b/>
          <w:sz w:val="32"/>
          <w:szCs w:val="32"/>
        </w:rPr>
      </w:pPr>
      <w:bookmarkStart w:id="19" w:name="_Hlk44422100"/>
      <w:r>
        <w:br w:type="page"/>
      </w:r>
    </w:p>
    <w:p w14:paraId="21F528BD" w14:textId="5AB7986F" w:rsidR="00B73098" w:rsidRPr="002C27D8" w:rsidRDefault="00B73098" w:rsidP="00B73098">
      <w:pPr>
        <w:pStyle w:val="Heading1"/>
      </w:pPr>
      <w:bookmarkStart w:id="20" w:name="_Hlk44496036"/>
      <w:bookmarkStart w:id="21" w:name="_Toc45026653"/>
      <w:r>
        <w:lastRenderedPageBreak/>
        <w:t>Section V</w:t>
      </w:r>
      <w:r w:rsidR="00E427C1">
        <w:t>I</w:t>
      </w:r>
      <w:r>
        <w:t>. Concluding Remarks</w:t>
      </w:r>
      <w:bookmarkEnd w:id="21"/>
    </w:p>
    <w:p w14:paraId="1F4337C2" w14:textId="49FCFAFB" w:rsidR="00B73098" w:rsidRDefault="00B73098" w:rsidP="00B73098">
      <w:pPr>
        <w:spacing w:after="0" w:line="240" w:lineRule="auto"/>
      </w:pPr>
      <w:r>
        <w:t>Since the SPF-PFS grant in Illinois was slated to end on September 29, 2019, the No Cost Extension provided a valuable opportunity to sustain the project</w:t>
      </w:r>
      <w:r w:rsidR="00506414">
        <w:t xml:space="preserve">, </w:t>
      </w:r>
      <w:r>
        <w:t>maintain outcomes</w:t>
      </w:r>
      <w:r w:rsidR="00506414">
        <w:t xml:space="preserve"> and reduce underage drinking</w:t>
      </w:r>
      <w:r>
        <w:t>. Notable was the opportunity to support and incentivize participating sub</w:t>
      </w:r>
      <w:r w:rsidR="005E0D9C">
        <w:t>-</w:t>
      </w:r>
      <w:r>
        <w:t xml:space="preserve">recipients to recruit and register schools to participate in the Illinois Youth Survey – a source of first-hand youth </w:t>
      </w:r>
      <w:r w:rsidR="00506414">
        <w:t>alcohol</w:t>
      </w:r>
      <w:r>
        <w:t xml:space="preserve"> use data that sub</w:t>
      </w:r>
      <w:r w:rsidR="005E0D9C">
        <w:t>-</w:t>
      </w:r>
      <w:r>
        <w:t xml:space="preserve">recipients learned to appreciate the value of over the life of the SPF-PFS project. During this period, they recruited nearly 100% of schools and many were able to register them early enough to complete the survey before the school closure. Despite the early closure only 12 of 43 schools overall were unable to complete the survey. </w:t>
      </w:r>
    </w:p>
    <w:p w14:paraId="6552B064" w14:textId="77777777" w:rsidR="00B73098" w:rsidRDefault="00B73098" w:rsidP="00B73098">
      <w:pPr>
        <w:spacing w:after="0" w:line="240" w:lineRule="auto"/>
      </w:pPr>
    </w:p>
    <w:p w14:paraId="1B06E8BA" w14:textId="24E75E19" w:rsidR="005E0D9C" w:rsidRDefault="00B73098" w:rsidP="00B73098">
      <w:pPr>
        <w:spacing w:after="0" w:line="240" w:lineRule="auto"/>
        <w:rPr>
          <w:rFonts w:ascii="Calibri" w:hAnsi="Calibri"/>
        </w:rPr>
      </w:pPr>
      <w:r>
        <w:t>All continuing sub</w:t>
      </w:r>
      <w:r w:rsidR="005E0D9C">
        <w:t>-</w:t>
      </w:r>
      <w:r>
        <w:t xml:space="preserve">recipients were able to </w:t>
      </w:r>
      <w:r w:rsidR="00E427C1">
        <w:t xml:space="preserve">maintain or increase coalition sector representation and continued hosting coalition and subcommittee meetings regularly. They also </w:t>
      </w:r>
      <w:r>
        <w:t>continue</w:t>
      </w:r>
      <w:r w:rsidR="00E427C1">
        <w:t>d</w:t>
      </w:r>
      <w:r>
        <w:t xml:space="preserve"> deliver</w:t>
      </w:r>
      <w:r w:rsidR="00506414">
        <w:t xml:space="preserve">ing previously planned evidence-based programs and communication campaigns that will reduce underage drinking. </w:t>
      </w:r>
      <w:r>
        <w:t xml:space="preserve"> </w:t>
      </w:r>
      <w:r w:rsidR="00506414">
        <w:t xml:space="preserve">In addition, </w:t>
      </w:r>
      <w:r>
        <w:t xml:space="preserve">all were able to continue addressing health disparities </w:t>
      </w:r>
      <w:r w:rsidR="00506414">
        <w:t xml:space="preserve">as they relate to underage alcohol use </w:t>
      </w:r>
      <w:r>
        <w:t xml:space="preserve">in their communities. </w:t>
      </w:r>
      <w:r w:rsidR="005E0D9C" w:rsidRPr="005E0D9C">
        <w:rPr>
          <w:rFonts w:ascii="Calibri" w:hAnsi="Calibri"/>
        </w:rPr>
        <w:t>Finally, the work of the SEOW continued to be supported as new members came on board and new initiatives began to improve the availability and quality of Illinois data to monitor and assess the use and consequences of underage alcohol use</w:t>
      </w:r>
      <w:r w:rsidR="005E0D9C">
        <w:rPr>
          <w:rFonts w:ascii="Calibri" w:hAnsi="Calibri"/>
        </w:rPr>
        <w:t>.</w:t>
      </w:r>
    </w:p>
    <w:p w14:paraId="0298CE03" w14:textId="77777777" w:rsidR="005E0D9C" w:rsidRDefault="005E0D9C" w:rsidP="00B73098">
      <w:pPr>
        <w:spacing w:after="0" w:line="240" w:lineRule="auto"/>
        <w:rPr>
          <w:rFonts w:ascii="Calibri" w:hAnsi="Calibri"/>
          <w:strike/>
        </w:rPr>
      </w:pPr>
    </w:p>
    <w:p w14:paraId="6C8C7317" w14:textId="0D76A0E3" w:rsidR="00B73098" w:rsidRDefault="00B73098" w:rsidP="00B73098">
      <w:pPr>
        <w:spacing w:after="0" w:line="240" w:lineRule="auto"/>
      </w:pPr>
      <w:r>
        <w:t>We fully anticipate that most of these initiatives</w:t>
      </w:r>
      <w:r w:rsidR="00506414">
        <w:t xml:space="preserve"> designed to reduce underage alcohol use</w:t>
      </w:r>
      <w:r>
        <w:t xml:space="preserve"> will continue sustainably as a result of the valuable lessons learned among the sub-recipient communities of the SPF-PFS project overall.  </w:t>
      </w:r>
    </w:p>
    <w:bookmarkEnd w:id="19"/>
    <w:bookmarkEnd w:id="20"/>
    <w:p w14:paraId="14F94588" w14:textId="77777777" w:rsidR="00B73098" w:rsidRDefault="00B73098" w:rsidP="00B73098">
      <w:pPr>
        <w:spacing w:after="0" w:line="240" w:lineRule="auto"/>
      </w:pPr>
    </w:p>
    <w:sectPr w:rsidR="00B730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33486" w14:textId="77777777" w:rsidR="00B4238C" w:rsidRDefault="00B4238C" w:rsidP="00AE5EAA">
      <w:pPr>
        <w:spacing w:after="0" w:line="240" w:lineRule="auto"/>
      </w:pPr>
      <w:r>
        <w:separator/>
      </w:r>
    </w:p>
  </w:endnote>
  <w:endnote w:type="continuationSeparator" w:id="0">
    <w:p w14:paraId="25324046" w14:textId="77777777" w:rsidR="00B4238C" w:rsidRDefault="00B4238C" w:rsidP="00AE5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0763973"/>
      <w:docPartObj>
        <w:docPartGallery w:val="Page Numbers (Bottom of Page)"/>
        <w:docPartUnique/>
      </w:docPartObj>
    </w:sdtPr>
    <w:sdtEndPr>
      <w:rPr>
        <w:noProof/>
      </w:rPr>
    </w:sdtEndPr>
    <w:sdtContent>
      <w:p w14:paraId="19CAB4C8" w14:textId="041FA344" w:rsidR="00B4238C" w:rsidRDefault="00B423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0EA1C5" w14:textId="712B00CD" w:rsidR="00B4238C" w:rsidRDefault="00B4238C" w:rsidP="004F7213">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396C3" w14:textId="77777777" w:rsidR="00B4238C" w:rsidRDefault="00B4238C" w:rsidP="004F7213">
    <w:pPr>
      <w:pStyle w:val="Footer"/>
      <w:jc w:val="center"/>
    </w:pPr>
    <w:r>
      <w:fldChar w:fldCharType="begin"/>
    </w:r>
    <w:r>
      <w:instrText xml:space="preserve"> PAGE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BFB90" w14:textId="77777777" w:rsidR="00B4238C" w:rsidRDefault="00B4238C" w:rsidP="00AE5EAA">
      <w:pPr>
        <w:spacing w:after="0" w:line="240" w:lineRule="auto"/>
      </w:pPr>
      <w:r>
        <w:separator/>
      </w:r>
    </w:p>
  </w:footnote>
  <w:footnote w:type="continuationSeparator" w:id="0">
    <w:p w14:paraId="0AF9D0AF" w14:textId="77777777" w:rsidR="00B4238C" w:rsidRDefault="00B4238C" w:rsidP="00AE5E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625B"/>
    <w:multiLevelType w:val="hybridMultilevel"/>
    <w:tmpl w:val="F326A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E44A0E"/>
    <w:multiLevelType w:val="hybridMultilevel"/>
    <w:tmpl w:val="60344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36554"/>
    <w:multiLevelType w:val="hybridMultilevel"/>
    <w:tmpl w:val="0E8EE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A280E"/>
    <w:multiLevelType w:val="hybridMultilevel"/>
    <w:tmpl w:val="A42A6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F4BDF"/>
    <w:multiLevelType w:val="hybridMultilevel"/>
    <w:tmpl w:val="DE82B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B4705"/>
    <w:multiLevelType w:val="hybridMultilevel"/>
    <w:tmpl w:val="CE64602C"/>
    <w:lvl w:ilvl="0" w:tplc="6E0C501A">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24BCC"/>
    <w:multiLevelType w:val="hybridMultilevel"/>
    <w:tmpl w:val="78BE79FE"/>
    <w:lvl w:ilvl="0" w:tplc="6E0C501A">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117C7"/>
    <w:multiLevelType w:val="hybridMultilevel"/>
    <w:tmpl w:val="7AA8F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676748"/>
    <w:multiLevelType w:val="hybridMultilevel"/>
    <w:tmpl w:val="9C7A86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7"/>
  </w:num>
  <w:num w:numId="6">
    <w:abstractNumId w:val="5"/>
  </w:num>
  <w:num w:numId="7">
    <w:abstractNumId w:val="6"/>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FC"/>
    <w:rsid w:val="00002560"/>
    <w:rsid w:val="000C1F72"/>
    <w:rsid w:val="00136310"/>
    <w:rsid w:val="00164FB5"/>
    <w:rsid w:val="001A4C45"/>
    <w:rsid w:val="001C1978"/>
    <w:rsid w:val="001C697A"/>
    <w:rsid w:val="002334B3"/>
    <w:rsid w:val="002C27D8"/>
    <w:rsid w:val="002F7CC1"/>
    <w:rsid w:val="0033732D"/>
    <w:rsid w:val="00365CFC"/>
    <w:rsid w:val="004054CE"/>
    <w:rsid w:val="00422835"/>
    <w:rsid w:val="00432157"/>
    <w:rsid w:val="00463A99"/>
    <w:rsid w:val="004A4B65"/>
    <w:rsid w:val="004B3B9D"/>
    <w:rsid w:val="004C4734"/>
    <w:rsid w:val="004F7213"/>
    <w:rsid w:val="00506414"/>
    <w:rsid w:val="005574D6"/>
    <w:rsid w:val="005E0D9C"/>
    <w:rsid w:val="00672150"/>
    <w:rsid w:val="00704730"/>
    <w:rsid w:val="007071A6"/>
    <w:rsid w:val="007C2987"/>
    <w:rsid w:val="00801194"/>
    <w:rsid w:val="00824CBD"/>
    <w:rsid w:val="0089215B"/>
    <w:rsid w:val="00940221"/>
    <w:rsid w:val="00946ACF"/>
    <w:rsid w:val="00975D1F"/>
    <w:rsid w:val="00A131B4"/>
    <w:rsid w:val="00A67120"/>
    <w:rsid w:val="00AE5EAA"/>
    <w:rsid w:val="00B1159F"/>
    <w:rsid w:val="00B4238C"/>
    <w:rsid w:val="00B50C79"/>
    <w:rsid w:val="00B73098"/>
    <w:rsid w:val="00BC1494"/>
    <w:rsid w:val="00BF6BE3"/>
    <w:rsid w:val="00C11F6A"/>
    <w:rsid w:val="00C5075A"/>
    <w:rsid w:val="00C6328F"/>
    <w:rsid w:val="00C7610E"/>
    <w:rsid w:val="00C90FD0"/>
    <w:rsid w:val="00CA5563"/>
    <w:rsid w:val="00CC140F"/>
    <w:rsid w:val="00CC5D10"/>
    <w:rsid w:val="00CE0253"/>
    <w:rsid w:val="00DF0D2A"/>
    <w:rsid w:val="00E427C1"/>
    <w:rsid w:val="00E8607C"/>
    <w:rsid w:val="00ED591B"/>
    <w:rsid w:val="00ED7229"/>
    <w:rsid w:val="00F167F3"/>
    <w:rsid w:val="00F56A80"/>
    <w:rsid w:val="00FA656E"/>
    <w:rsid w:val="00FD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76E9"/>
  <w15:chartTrackingRefBased/>
  <w15:docId w15:val="{6D03046B-7A78-4F56-A728-0770CA1D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CFC"/>
    <w:pPr>
      <w:spacing w:line="256" w:lineRule="auto"/>
    </w:pPr>
    <w:rPr>
      <w:rFonts w:eastAsia="Times New Roman" w:cs="Times New Roman"/>
    </w:rPr>
  </w:style>
  <w:style w:type="paragraph" w:styleId="Heading1">
    <w:name w:val="heading 1"/>
    <w:basedOn w:val="Normal"/>
    <w:next w:val="Normal"/>
    <w:link w:val="Heading1Char"/>
    <w:uiPriority w:val="9"/>
    <w:qFormat/>
    <w:rsid w:val="00704730"/>
    <w:pPr>
      <w:keepNext/>
      <w:keepLines/>
      <w:spacing w:before="240" w:after="240" w:line="257" w:lineRule="auto"/>
      <w:jc w:val="center"/>
      <w:outlineLvl w:val="0"/>
    </w:pPr>
    <w:rPr>
      <w:rFonts w:ascii="Calibri" w:eastAsiaTheme="majorEastAsia" w:hAnsi="Calibri" w:cstheme="majorBidi"/>
      <w:b/>
      <w:sz w:val="32"/>
      <w:szCs w:val="32"/>
    </w:rPr>
  </w:style>
  <w:style w:type="paragraph" w:styleId="Heading2">
    <w:name w:val="heading 2"/>
    <w:basedOn w:val="Normal"/>
    <w:next w:val="Normal"/>
    <w:link w:val="Heading2Char"/>
    <w:uiPriority w:val="9"/>
    <w:unhideWhenUsed/>
    <w:qFormat/>
    <w:rsid w:val="00B4238C"/>
    <w:pPr>
      <w:keepNext/>
      <w:keepLines/>
      <w:spacing w:before="40" w:after="120" w:line="257" w:lineRule="auto"/>
      <w:outlineLvl w:val="1"/>
    </w:pPr>
    <w:rPr>
      <w:rFonts w:asciiTheme="majorHAnsi" w:eastAsiaTheme="majorEastAsia" w:hAnsiTheme="majorHAnsi" w:cstheme="majorBidi"/>
      <w:b/>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5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CFC"/>
    <w:rPr>
      <w:rFonts w:eastAsia="Times New Roman" w:cs="Times New Roman"/>
    </w:rPr>
  </w:style>
  <w:style w:type="paragraph" w:styleId="Header">
    <w:name w:val="header"/>
    <w:basedOn w:val="Normal"/>
    <w:link w:val="HeaderChar"/>
    <w:uiPriority w:val="99"/>
    <w:unhideWhenUsed/>
    <w:rsid w:val="00AE5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EAA"/>
    <w:rPr>
      <w:rFonts w:eastAsia="Times New Roman" w:cs="Times New Roman"/>
    </w:rPr>
  </w:style>
  <w:style w:type="character" w:customStyle="1" w:styleId="Heading1Char">
    <w:name w:val="Heading 1 Char"/>
    <w:basedOn w:val="DefaultParagraphFont"/>
    <w:link w:val="Heading1"/>
    <w:uiPriority w:val="9"/>
    <w:rsid w:val="00704730"/>
    <w:rPr>
      <w:rFonts w:ascii="Calibri" w:eastAsiaTheme="majorEastAsia" w:hAnsi="Calibri" w:cstheme="majorBidi"/>
      <w:b/>
      <w:sz w:val="32"/>
      <w:szCs w:val="32"/>
    </w:rPr>
  </w:style>
  <w:style w:type="paragraph" w:styleId="TOCHeading">
    <w:name w:val="TOC Heading"/>
    <w:basedOn w:val="Heading1"/>
    <w:next w:val="Normal"/>
    <w:uiPriority w:val="39"/>
    <w:unhideWhenUsed/>
    <w:qFormat/>
    <w:rsid w:val="00AE5EAA"/>
    <w:pPr>
      <w:spacing w:line="259" w:lineRule="auto"/>
      <w:outlineLvl w:val="9"/>
    </w:pPr>
  </w:style>
  <w:style w:type="paragraph" w:styleId="ListParagraph">
    <w:name w:val="List Paragraph"/>
    <w:basedOn w:val="Normal"/>
    <w:uiPriority w:val="34"/>
    <w:qFormat/>
    <w:rsid w:val="00AE5EAA"/>
    <w:pPr>
      <w:ind w:left="720"/>
      <w:contextualSpacing/>
    </w:pPr>
  </w:style>
  <w:style w:type="table" w:styleId="TableGrid">
    <w:name w:val="Table Grid"/>
    <w:basedOn w:val="TableNormal"/>
    <w:uiPriority w:val="59"/>
    <w:rsid w:val="00824CBD"/>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824CBD"/>
    <w:pPr>
      <w:tabs>
        <w:tab w:val="decimal" w:pos="360"/>
      </w:tabs>
      <w:spacing w:after="200" w:line="276" w:lineRule="auto"/>
    </w:pPr>
    <w:rPr>
      <w:rFonts w:eastAsiaTheme="minorEastAsia"/>
    </w:rPr>
  </w:style>
  <w:style w:type="table" w:styleId="MediumShading2-Accent5">
    <w:name w:val="Medium Shading 2 Accent 5"/>
    <w:basedOn w:val="TableNormal"/>
    <w:uiPriority w:val="64"/>
    <w:rsid w:val="00824CBD"/>
    <w:pPr>
      <w:spacing w:after="0" w:line="240" w:lineRule="auto"/>
    </w:pPr>
    <w:rPr>
      <w:rFonts w:eastAsiaTheme="minorEastAsia"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cs="Times New Roman"/>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rFonts w:cs="Times New Roman"/>
        <w:b/>
        <w:bCs/>
        <w:color w:val="FFFFFF" w:themeColor="background1"/>
      </w:rPr>
      <w:tblPr/>
      <w:tcPr>
        <w:tcBorders>
          <w:left w:val="nil"/>
          <w:right w:val="nil"/>
          <w:insideH w:val="nil"/>
          <w:insideV w:val="nil"/>
        </w:tcBorders>
        <w:shd w:val="clear" w:color="auto" w:fill="5B9BD5" w:themeFill="accent5"/>
      </w:tcPr>
    </w:tblStylePr>
    <w:tblStylePr w:type="band1Vert">
      <w:rPr>
        <w:rFonts w:cs="Times New Roman"/>
      </w:rPr>
      <w:tblPr/>
      <w:tcPr>
        <w:tcBorders>
          <w:left w:val="nil"/>
          <w:right w:val="nil"/>
          <w:insideH w:val="nil"/>
          <w:insideV w:val="nil"/>
        </w:tcBorders>
        <w:shd w:val="clear" w:color="auto" w:fill="D8D8D8" w:themeFill="background1" w:themeFillShade="D8"/>
      </w:tcPr>
    </w:tblStylePr>
    <w:tblStylePr w:type="band1Horz">
      <w:rPr>
        <w:rFonts w:cs="Times New Roman"/>
      </w:rPr>
      <w:tblPr/>
      <w:tcPr>
        <w:shd w:val="clear" w:color="auto" w:fill="D8D8D8" w:themeFill="background1" w:themeFillShade="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OC1">
    <w:name w:val="toc 1"/>
    <w:basedOn w:val="Normal"/>
    <w:next w:val="Normal"/>
    <w:autoRedefine/>
    <w:uiPriority w:val="39"/>
    <w:unhideWhenUsed/>
    <w:rsid w:val="002C27D8"/>
    <w:pPr>
      <w:spacing w:after="100"/>
    </w:pPr>
  </w:style>
  <w:style w:type="character" w:styleId="Hyperlink">
    <w:name w:val="Hyperlink"/>
    <w:basedOn w:val="DefaultParagraphFont"/>
    <w:uiPriority w:val="99"/>
    <w:unhideWhenUsed/>
    <w:rsid w:val="002C27D8"/>
    <w:rPr>
      <w:color w:val="0563C1" w:themeColor="hyperlink"/>
      <w:u w:val="single"/>
    </w:rPr>
  </w:style>
  <w:style w:type="character" w:customStyle="1" w:styleId="Heading2Char">
    <w:name w:val="Heading 2 Char"/>
    <w:basedOn w:val="DefaultParagraphFont"/>
    <w:link w:val="Heading2"/>
    <w:uiPriority w:val="9"/>
    <w:rsid w:val="00B4238C"/>
    <w:rPr>
      <w:rFonts w:asciiTheme="majorHAnsi" w:eastAsiaTheme="majorEastAsia" w:hAnsiTheme="majorHAnsi" w:cstheme="majorBidi"/>
      <w:b/>
      <w:i/>
      <w:szCs w:val="26"/>
    </w:rPr>
  </w:style>
  <w:style w:type="paragraph" w:styleId="TOC2">
    <w:name w:val="toc 2"/>
    <w:basedOn w:val="Normal"/>
    <w:next w:val="Normal"/>
    <w:autoRedefine/>
    <w:uiPriority w:val="39"/>
    <w:unhideWhenUsed/>
    <w:rsid w:val="00C5075A"/>
    <w:pPr>
      <w:spacing w:after="100"/>
      <w:ind w:left="220"/>
    </w:pPr>
  </w:style>
  <w:style w:type="character" w:styleId="CommentReference">
    <w:name w:val="annotation reference"/>
    <w:basedOn w:val="DefaultParagraphFont"/>
    <w:uiPriority w:val="99"/>
    <w:semiHidden/>
    <w:unhideWhenUsed/>
    <w:rsid w:val="00946ACF"/>
    <w:rPr>
      <w:sz w:val="16"/>
      <w:szCs w:val="16"/>
    </w:rPr>
  </w:style>
  <w:style w:type="paragraph" w:styleId="CommentText">
    <w:name w:val="annotation text"/>
    <w:basedOn w:val="Normal"/>
    <w:link w:val="CommentTextChar"/>
    <w:uiPriority w:val="99"/>
    <w:semiHidden/>
    <w:unhideWhenUsed/>
    <w:rsid w:val="00946ACF"/>
    <w:pPr>
      <w:spacing w:line="240" w:lineRule="auto"/>
    </w:pPr>
    <w:rPr>
      <w:sz w:val="20"/>
      <w:szCs w:val="20"/>
    </w:rPr>
  </w:style>
  <w:style w:type="character" w:customStyle="1" w:styleId="CommentTextChar">
    <w:name w:val="Comment Text Char"/>
    <w:basedOn w:val="DefaultParagraphFont"/>
    <w:link w:val="CommentText"/>
    <w:uiPriority w:val="99"/>
    <w:semiHidden/>
    <w:rsid w:val="00946ACF"/>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46ACF"/>
    <w:rPr>
      <w:b/>
      <w:bCs/>
    </w:rPr>
  </w:style>
  <w:style w:type="character" w:customStyle="1" w:styleId="CommentSubjectChar">
    <w:name w:val="Comment Subject Char"/>
    <w:basedOn w:val="CommentTextChar"/>
    <w:link w:val="CommentSubject"/>
    <w:uiPriority w:val="99"/>
    <w:semiHidden/>
    <w:rsid w:val="00946ACF"/>
    <w:rPr>
      <w:rFonts w:eastAsia="Times New Roman" w:cs="Times New Roman"/>
      <w:b/>
      <w:bCs/>
      <w:sz w:val="20"/>
      <w:szCs w:val="20"/>
    </w:rPr>
  </w:style>
  <w:style w:type="paragraph" w:styleId="BalloonText">
    <w:name w:val="Balloon Text"/>
    <w:basedOn w:val="Normal"/>
    <w:link w:val="BalloonTextChar"/>
    <w:uiPriority w:val="99"/>
    <w:semiHidden/>
    <w:unhideWhenUsed/>
    <w:rsid w:val="00946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A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242715">
      <w:bodyDiv w:val="1"/>
      <w:marLeft w:val="0"/>
      <w:marRight w:val="0"/>
      <w:marTop w:val="0"/>
      <w:marBottom w:val="0"/>
      <w:divBdr>
        <w:top w:val="none" w:sz="0" w:space="0" w:color="auto"/>
        <w:left w:val="none" w:sz="0" w:space="0" w:color="auto"/>
        <w:bottom w:val="none" w:sz="0" w:space="0" w:color="auto"/>
        <w:right w:val="none" w:sz="0" w:space="0" w:color="auto"/>
      </w:divBdr>
    </w:div>
    <w:div w:id="607657605">
      <w:bodyDiv w:val="1"/>
      <w:marLeft w:val="0"/>
      <w:marRight w:val="0"/>
      <w:marTop w:val="0"/>
      <w:marBottom w:val="0"/>
      <w:divBdr>
        <w:top w:val="none" w:sz="0" w:space="0" w:color="auto"/>
        <w:left w:val="none" w:sz="0" w:space="0" w:color="auto"/>
        <w:bottom w:val="none" w:sz="0" w:space="0" w:color="auto"/>
        <w:right w:val="none" w:sz="0" w:space="0" w:color="auto"/>
      </w:divBdr>
    </w:div>
    <w:div w:id="147129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67AD6-BC16-4452-A6CB-14185C9D8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3833</Words>
  <Characters>21853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Reinhart, Crystal</dc:creator>
  <cp:keywords/>
  <dc:description/>
  <cp:lastModifiedBy>Reinhart, Crystal</cp:lastModifiedBy>
  <cp:revision>2</cp:revision>
  <dcterms:created xsi:type="dcterms:W3CDTF">2020-07-07T20:07:00Z</dcterms:created>
  <dcterms:modified xsi:type="dcterms:W3CDTF">2020-07-07T20:07:00Z</dcterms:modified>
</cp:coreProperties>
</file>